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E77D" w14:textId="77777777" w:rsidR="008F592F" w:rsidRDefault="008F592F">
      <w:pPr>
        <w:rPr>
          <w:rFonts w:ascii="Times New Roman" w:eastAsia="黑体" w:hAnsi="Times New Roman"/>
        </w:rPr>
      </w:pPr>
    </w:p>
    <w:p w14:paraId="1BF56414" w14:textId="77777777" w:rsidR="008F592F" w:rsidRDefault="00000000">
      <w:pPr>
        <w:rPr>
          <w:rFonts w:ascii="Times New Roman" w:eastAsia="黑体" w:hAnsi="Times New Roman"/>
        </w:rPr>
      </w:pPr>
      <w:r>
        <w:rPr>
          <w:rFonts w:ascii="Times New Roman" w:eastAsia="黑体" w:hAnsi="Times New Roman"/>
        </w:rPr>
        <w:t>ICS 65.020.01</w:t>
      </w:r>
    </w:p>
    <w:p w14:paraId="300D198D" w14:textId="77777777" w:rsidR="008F592F" w:rsidRDefault="00000000">
      <w:pPr>
        <w:rPr>
          <w:rFonts w:ascii="Times New Roman" w:eastAsia="黑体" w:hAnsi="Times New Roman"/>
        </w:rPr>
      </w:pPr>
      <w:r>
        <w:rPr>
          <w:rFonts w:ascii="Times New Roman" w:eastAsia="黑体" w:hAnsi="Times New Roman"/>
        </w:rPr>
        <w:t>CCS B 04</w:t>
      </w:r>
    </w:p>
    <w:p w14:paraId="0199F83D" w14:textId="77777777" w:rsidR="008F592F" w:rsidRDefault="00000000">
      <w:pPr>
        <w:pStyle w:val="a7"/>
        <w:framePr w:w="0" w:hRule="auto" w:hSpace="0" w:vSpace="0" w:wrap="auto" w:hAnchor="text" w:xAlign="left" w:yAlign="inline"/>
        <w:ind w:right="628"/>
        <w:rPr>
          <w:b w:val="0"/>
          <w:w w:val="130"/>
          <w:szCs w:val="20"/>
        </w:rPr>
      </w:pPr>
      <w:r>
        <w:rPr>
          <w:rFonts w:eastAsia="黑体"/>
          <w:b w:val="0"/>
          <w:spacing w:val="57"/>
          <w:sz w:val="52"/>
          <w:szCs w:val="52"/>
        </w:rPr>
        <w:t xml:space="preserve">              </w:t>
      </w:r>
      <w:r>
        <w:rPr>
          <w:b w:val="0"/>
          <w:w w:val="130"/>
          <w:szCs w:val="20"/>
        </w:rPr>
        <w:t>NY</w:t>
      </w:r>
    </w:p>
    <w:p w14:paraId="0AD4F09D" w14:textId="77777777" w:rsidR="008F592F" w:rsidRDefault="00000000">
      <w:pPr>
        <w:autoSpaceDE w:val="0"/>
        <w:autoSpaceDN w:val="0"/>
        <w:adjustRightInd w:val="0"/>
        <w:jc w:val="center"/>
        <w:rPr>
          <w:rFonts w:ascii="Times New Roman" w:eastAsia="黑体" w:hAnsi="Times New Roman"/>
          <w:spacing w:val="100"/>
          <w:kern w:val="0"/>
          <w:sz w:val="44"/>
          <w:szCs w:val="44"/>
        </w:rPr>
      </w:pPr>
      <w:r>
        <w:rPr>
          <w:rFonts w:ascii="Times New Roman" w:eastAsia="黑体" w:hAnsi="Times New Roman"/>
          <w:spacing w:val="57"/>
          <w:kern w:val="0"/>
          <w:sz w:val="56"/>
          <w:szCs w:val="56"/>
        </w:rPr>
        <w:t>中华人民共和国农业行业标准</w:t>
      </w:r>
    </w:p>
    <w:p w14:paraId="261F7035" w14:textId="77777777" w:rsidR="008F592F" w:rsidRDefault="00000000">
      <w:pPr>
        <w:pStyle w:val="2"/>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ascii="Times New Roman"/>
          <w:szCs w:val="20"/>
        </w:rPr>
        <w:t>NY/</w:t>
      </w:r>
      <w:proofErr w:type="gramStart"/>
      <w:r>
        <w:rPr>
          <w:rFonts w:ascii="Times New Roman"/>
          <w:szCs w:val="20"/>
        </w:rPr>
        <w:t>T  XXXX</w:t>
      </w:r>
      <w:proofErr w:type="gramEnd"/>
      <w:r>
        <w:rPr>
          <w:rFonts w:ascii="Times New Roman"/>
          <w:szCs w:val="20"/>
        </w:rPr>
        <w:t>-202X</w:t>
      </w:r>
    </w:p>
    <w:p w14:paraId="1F2076F0" w14:textId="77777777" w:rsidR="008F592F" w:rsidRDefault="00000000">
      <w:pPr>
        <w:spacing w:line="380" w:lineRule="exact"/>
        <w:rPr>
          <w:rFonts w:ascii="Times New Roman" w:hAnsi="Times New Roman"/>
          <w:b/>
          <w:sz w:val="32"/>
          <w:szCs w:val="32"/>
        </w:rPr>
      </w:pPr>
      <w:r>
        <w:rPr>
          <w:rFonts w:ascii="Times New Roman" w:hAnsi="Times New Roman"/>
          <w:b/>
          <w:noProof/>
          <w:sz w:val="32"/>
          <w:szCs w:val="32"/>
        </w:rPr>
        <mc:AlternateContent>
          <mc:Choice Requires="wps">
            <w:drawing>
              <wp:anchor distT="0" distB="0" distL="114300" distR="114300" simplePos="0" relativeHeight="251660288" behindDoc="0" locked="0" layoutInCell="1" allowOverlap="1" wp14:anchorId="0D4460B7" wp14:editId="133F01AF">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0pt;margin-top:6.3pt;height:1.5pt;width:473.4pt;z-index:251660288;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1goBNQAAAAGAQAADwAAAAAAAAABACAAAAAiAAAAZHJzL2Rvd25yZXYueG1sUEsB&#10;AhQAFAAAAAgAh07iQO0Jh8L5AQAA5gMAAA4AAAAAAAAAAQAgAAAAIwEAAGRycy9lMm9Eb2MueG1s&#10;UEsFBgAAAAAGAAYAWQEAAI4FAAAAAA==&#10;">
                <v:fill on="f" focussize="0,0"/>
                <v:stroke color="#000000" joinstyle="round"/>
                <v:imagedata o:title=""/>
                <o:lock v:ext="edit" aspectratio="f"/>
              </v:line>
            </w:pict>
          </mc:Fallback>
        </mc:AlternateContent>
      </w:r>
    </w:p>
    <w:p w14:paraId="3B7F9092" w14:textId="77777777" w:rsidR="008F592F" w:rsidRDefault="008F592F">
      <w:pPr>
        <w:spacing w:line="380" w:lineRule="exact"/>
        <w:rPr>
          <w:rFonts w:ascii="Times New Roman" w:hAnsi="Times New Roman"/>
          <w:b/>
          <w:sz w:val="44"/>
          <w:szCs w:val="44"/>
        </w:rPr>
      </w:pPr>
    </w:p>
    <w:p w14:paraId="27D9F5CA" w14:textId="77777777" w:rsidR="008F592F" w:rsidRDefault="008F592F">
      <w:pPr>
        <w:spacing w:line="360" w:lineRule="auto"/>
        <w:rPr>
          <w:rFonts w:ascii="Times New Roman" w:hAnsi="Times New Roman"/>
          <w:sz w:val="44"/>
          <w:szCs w:val="44"/>
        </w:rPr>
      </w:pPr>
    </w:p>
    <w:p w14:paraId="6FB6FFC6" w14:textId="6D612CDE" w:rsidR="008F592F" w:rsidRDefault="00000000">
      <w:pPr>
        <w:spacing w:line="360" w:lineRule="auto"/>
        <w:jc w:val="center"/>
        <w:rPr>
          <w:rFonts w:ascii="Times New Roman" w:eastAsia="黑体" w:hAnsi="Times New Roman"/>
          <w:sz w:val="52"/>
          <w:szCs w:val="52"/>
        </w:rPr>
      </w:pPr>
      <w:r>
        <w:rPr>
          <w:rFonts w:ascii="Times New Roman" w:eastAsia="黑体" w:hAnsi="Times New Roman"/>
          <w:sz w:val="52"/>
          <w:szCs w:val="52"/>
        </w:rPr>
        <w:t>农药残留物评估指南</w:t>
      </w:r>
    </w:p>
    <w:p w14:paraId="5A7F5460" w14:textId="77777777" w:rsidR="008F592F" w:rsidRDefault="008F592F">
      <w:pPr>
        <w:spacing w:line="380" w:lineRule="exact"/>
        <w:jc w:val="center"/>
        <w:outlineLvl w:val="0"/>
        <w:rPr>
          <w:rFonts w:ascii="Times New Roman" w:hAnsi="Times New Roman"/>
          <w:sz w:val="24"/>
        </w:rPr>
      </w:pPr>
    </w:p>
    <w:p w14:paraId="61D4D40B" w14:textId="440344E6" w:rsidR="008F592F" w:rsidRDefault="00000000">
      <w:pPr>
        <w:spacing w:line="380" w:lineRule="exact"/>
        <w:ind w:left="560" w:hangingChars="200" w:hanging="560"/>
        <w:jc w:val="center"/>
        <w:outlineLvl w:val="0"/>
        <w:rPr>
          <w:rFonts w:ascii="Times New Roman" w:eastAsia="黑体" w:hAnsi="Times New Roman"/>
          <w:sz w:val="28"/>
          <w:szCs w:val="28"/>
        </w:rPr>
      </w:pPr>
      <w:r>
        <w:rPr>
          <w:rFonts w:ascii="Times New Roman" w:eastAsia="黑体" w:hAnsi="Times New Roman"/>
          <w:sz w:val="28"/>
          <w:szCs w:val="28"/>
        </w:rPr>
        <w:t xml:space="preserve">Guidance on the </w:t>
      </w:r>
      <w:r>
        <w:rPr>
          <w:rFonts w:ascii="Times New Roman" w:eastAsia="黑体" w:hAnsi="Times New Roman" w:hint="eastAsia"/>
          <w:sz w:val="28"/>
          <w:szCs w:val="28"/>
        </w:rPr>
        <w:t>assessment of</w:t>
      </w:r>
      <w:r>
        <w:rPr>
          <w:rFonts w:ascii="Times New Roman" w:eastAsia="黑体" w:hAnsi="Times New Roman"/>
          <w:sz w:val="28"/>
          <w:szCs w:val="28"/>
        </w:rPr>
        <w:t xml:space="preserve"> pesticide residue</w:t>
      </w:r>
      <w:r>
        <w:rPr>
          <w:rFonts w:ascii="Times New Roman" w:eastAsia="黑体" w:hAnsi="Times New Roman" w:hint="eastAsia"/>
          <w:sz w:val="28"/>
          <w:szCs w:val="28"/>
        </w:rPr>
        <w:t xml:space="preserve"> </w:t>
      </w:r>
      <w:r>
        <w:rPr>
          <w:rFonts w:ascii="Times New Roman" w:eastAsia="黑体" w:hAnsi="Times New Roman"/>
          <w:sz w:val="28"/>
          <w:szCs w:val="28"/>
        </w:rPr>
        <w:t>definition</w:t>
      </w:r>
      <w:r>
        <w:rPr>
          <w:rFonts w:ascii="Times New Roman" w:eastAsia="黑体" w:hAnsi="Times New Roman" w:hint="eastAsia"/>
          <w:sz w:val="28"/>
          <w:szCs w:val="28"/>
        </w:rPr>
        <w:t xml:space="preserve"> </w:t>
      </w:r>
    </w:p>
    <w:p w14:paraId="3CD79CC9" w14:textId="77777777" w:rsidR="008F592F" w:rsidRDefault="008F592F">
      <w:pPr>
        <w:spacing w:line="380" w:lineRule="exact"/>
        <w:outlineLvl w:val="0"/>
        <w:rPr>
          <w:rFonts w:ascii="Times New Roman" w:hAnsi="Times New Roman"/>
          <w:sz w:val="24"/>
        </w:rPr>
      </w:pPr>
    </w:p>
    <w:p w14:paraId="36A6AF59" w14:textId="77777777" w:rsidR="008F592F" w:rsidRDefault="008F592F">
      <w:pPr>
        <w:spacing w:line="380" w:lineRule="exact"/>
        <w:outlineLvl w:val="0"/>
        <w:rPr>
          <w:rFonts w:ascii="Times New Roman" w:hAnsi="Times New Roman"/>
          <w:sz w:val="24"/>
        </w:rPr>
      </w:pPr>
    </w:p>
    <w:p w14:paraId="33A1CB7D" w14:textId="77777777" w:rsidR="008F592F" w:rsidRDefault="00000000">
      <w:pPr>
        <w:spacing w:line="380" w:lineRule="exact"/>
        <w:jc w:val="center"/>
        <w:outlineLvl w:val="0"/>
        <w:rPr>
          <w:rFonts w:ascii="Times New Roman" w:eastAsia="黑体" w:hAnsi="Times New Roman"/>
          <w:b/>
          <w:bCs/>
          <w:sz w:val="32"/>
          <w:szCs w:val="32"/>
        </w:rPr>
      </w:pPr>
      <w:bookmarkStart w:id="0" w:name="_Toc20663828"/>
      <w:r>
        <w:rPr>
          <w:rFonts w:ascii="Times New Roman" w:eastAsia="黑体" w:hAnsi="Times New Roman"/>
          <w:sz w:val="32"/>
          <w:szCs w:val="32"/>
        </w:rPr>
        <w:t>（</w:t>
      </w:r>
      <w:r>
        <w:rPr>
          <w:rFonts w:ascii="Times New Roman" w:eastAsia="黑体" w:hAnsi="Times New Roman" w:hint="eastAsia"/>
          <w:sz w:val="32"/>
          <w:szCs w:val="32"/>
        </w:rPr>
        <w:t>征求意见稿</w:t>
      </w:r>
      <w:r>
        <w:rPr>
          <w:rFonts w:ascii="Times New Roman" w:eastAsia="黑体" w:hAnsi="Times New Roman"/>
          <w:sz w:val="32"/>
          <w:szCs w:val="32"/>
        </w:rPr>
        <w:t>）</w:t>
      </w:r>
      <w:bookmarkEnd w:id="0"/>
    </w:p>
    <w:p w14:paraId="6108524D" w14:textId="77777777" w:rsidR="008F592F" w:rsidRDefault="008F592F">
      <w:pPr>
        <w:spacing w:line="380" w:lineRule="exact"/>
        <w:outlineLvl w:val="0"/>
        <w:rPr>
          <w:rFonts w:ascii="Times New Roman" w:hAnsi="Times New Roman"/>
          <w:b/>
          <w:sz w:val="24"/>
        </w:rPr>
      </w:pPr>
    </w:p>
    <w:p w14:paraId="174A304A" w14:textId="77777777" w:rsidR="008F592F" w:rsidRDefault="008F592F">
      <w:pPr>
        <w:spacing w:line="380" w:lineRule="exact"/>
        <w:outlineLvl w:val="0"/>
        <w:rPr>
          <w:rFonts w:ascii="Times New Roman" w:hAnsi="Times New Roman"/>
          <w:b/>
          <w:sz w:val="24"/>
        </w:rPr>
      </w:pPr>
    </w:p>
    <w:p w14:paraId="142B31F8" w14:textId="77777777" w:rsidR="008F592F" w:rsidRDefault="008F592F">
      <w:pPr>
        <w:spacing w:line="380" w:lineRule="exact"/>
        <w:outlineLvl w:val="0"/>
        <w:rPr>
          <w:rFonts w:ascii="Times New Roman" w:hAnsi="Times New Roman"/>
          <w:b/>
          <w:sz w:val="24"/>
        </w:rPr>
      </w:pPr>
    </w:p>
    <w:p w14:paraId="5828BB94" w14:textId="77777777" w:rsidR="008F592F" w:rsidRDefault="00000000">
      <w:pPr>
        <w:spacing w:line="380" w:lineRule="exact"/>
        <w:jc w:val="center"/>
        <w:outlineLvl w:val="0"/>
        <w:rPr>
          <w:rFonts w:ascii="Times New Roman" w:hAnsi="Times New Roman"/>
          <w:b/>
          <w:sz w:val="24"/>
        </w:rPr>
      </w:pPr>
      <w:r>
        <w:rPr>
          <w:rFonts w:ascii="Times New Roman" w:hAnsi="Times New Roman"/>
          <w:b/>
          <w:sz w:val="24"/>
        </w:rPr>
        <w:t>在提交反馈意见时，请将您知道的相关专利连同支持性文件一并附上。</w:t>
      </w:r>
    </w:p>
    <w:p w14:paraId="2DB0F75B" w14:textId="77777777" w:rsidR="008F592F" w:rsidRDefault="00000000">
      <w:pPr>
        <w:spacing w:line="380" w:lineRule="exact"/>
        <w:jc w:val="center"/>
        <w:outlineLvl w:val="0"/>
        <w:rPr>
          <w:rFonts w:ascii="Times New Roman" w:hAnsi="Times New Roman"/>
          <w:b/>
          <w:sz w:val="24"/>
        </w:rPr>
      </w:pPr>
      <w:r>
        <w:rPr>
          <w:rFonts w:ascii="Times New Roman" w:hAnsi="Times New Roman"/>
          <w:b/>
          <w:sz w:val="24"/>
        </w:rPr>
        <w:t>（注：征求意见时必须保留这句话。）</w:t>
      </w:r>
    </w:p>
    <w:p w14:paraId="790E28AF" w14:textId="77777777" w:rsidR="008F592F" w:rsidRDefault="008F592F">
      <w:pPr>
        <w:spacing w:line="380" w:lineRule="exact"/>
        <w:outlineLvl w:val="0"/>
        <w:rPr>
          <w:rFonts w:ascii="Times New Roman" w:hAnsi="Times New Roman"/>
          <w:b/>
          <w:sz w:val="24"/>
        </w:rPr>
      </w:pPr>
    </w:p>
    <w:p w14:paraId="2F3BBE7B" w14:textId="77777777" w:rsidR="008F592F" w:rsidRDefault="008F592F">
      <w:pPr>
        <w:spacing w:line="380" w:lineRule="exact"/>
        <w:outlineLvl w:val="0"/>
        <w:rPr>
          <w:rFonts w:ascii="Times New Roman" w:hAnsi="Times New Roman"/>
          <w:b/>
          <w:sz w:val="24"/>
        </w:rPr>
      </w:pPr>
    </w:p>
    <w:p w14:paraId="220746BB" w14:textId="77777777" w:rsidR="008F592F" w:rsidRDefault="008F592F">
      <w:pPr>
        <w:spacing w:line="380" w:lineRule="exact"/>
        <w:outlineLvl w:val="0"/>
        <w:rPr>
          <w:rFonts w:ascii="Times New Roman" w:hAnsi="Times New Roman"/>
          <w:b/>
          <w:sz w:val="24"/>
        </w:rPr>
      </w:pPr>
    </w:p>
    <w:p w14:paraId="0C3149CE" w14:textId="77777777" w:rsidR="008F592F" w:rsidRDefault="008F592F">
      <w:pPr>
        <w:spacing w:line="380" w:lineRule="exact"/>
        <w:outlineLvl w:val="0"/>
        <w:rPr>
          <w:rFonts w:ascii="Times New Roman" w:hAnsi="Times New Roman"/>
          <w:b/>
          <w:sz w:val="24"/>
        </w:rPr>
      </w:pPr>
    </w:p>
    <w:p w14:paraId="59E91D74" w14:textId="77777777" w:rsidR="008F592F" w:rsidRDefault="00000000">
      <w:pPr>
        <w:spacing w:line="380" w:lineRule="exact"/>
        <w:jc w:val="center"/>
        <w:outlineLvl w:val="0"/>
        <w:rPr>
          <w:rFonts w:ascii="Times New Roman" w:eastAsia="黑体" w:hAnsi="Times New Roman"/>
          <w:b/>
          <w:sz w:val="28"/>
          <w:szCs w:val="28"/>
        </w:rPr>
      </w:pPr>
      <w:bookmarkStart w:id="1" w:name="_Toc20663829"/>
      <w:r>
        <w:rPr>
          <w:rFonts w:ascii="Times New Roman" w:eastAsia="黑体" w:hAnsi="Times New Roman"/>
          <w:kern w:val="0"/>
          <w:sz w:val="28"/>
          <w:szCs w:val="28"/>
        </w:rPr>
        <w:t xml:space="preserve">XXXX -XX-XX </w:t>
      </w:r>
      <w:r>
        <w:rPr>
          <w:rFonts w:ascii="Times New Roman" w:eastAsia="黑体" w:hAnsi="Times New Roman"/>
          <w:kern w:val="0"/>
          <w:sz w:val="28"/>
          <w:szCs w:val="28"/>
        </w:rPr>
        <w:t>发布</w:t>
      </w:r>
      <w:r>
        <w:rPr>
          <w:rFonts w:ascii="Times New Roman" w:eastAsia="黑体" w:hAnsi="Times New Roman"/>
          <w:kern w:val="0"/>
          <w:sz w:val="28"/>
          <w:szCs w:val="28"/>
        </w:rPr>
        <w:t xml:space="preserve">                              XXXX -XX-XX </w:t>
      </w:r>
      <w:r>
        <w:rPr>
          <w:rFonts w:ascii="Times New Roman" w:eastAsia="黑体" w:hAnsi="Times New Roman"/>
          <w:kern w:val="0"/>
          <w:sz w:val="28"/>
          <w:szCs w:val="28"/>
        </w:rPr>
        <w:t>实施</w:t>
      </w:r>
      <w:bookmarkEnd w:id="1"/>
    </w:p>
    <w:p w14:paraId="5F1BDF21" w14:textId="77777777" w:rsidR="008F592F" w:rsidRDefault="00000000">
      <w:pPr>
        <w:spacing w:line="380" w:lineRule="exact"/>
        <w:outlineLvl w:val="0"/>
        <w:rPr>
          <w:rFonts w:ascii="Times New Roman" w:hAnsi="Times New Roman"/>
          <w:b/>
          <w:sz w:val="24"/>
        </w:rPr>
      </w:pPr>
      <w:r>
        <w:rPr>
          <w:rFonts w:ascii="Times New Roman" w:hAnsi="Times New Roman"/>
          <w:b/>
          <w:noProof/>
          <w:sz w:val="32"/>
          <w:szCs w:val="32"/>
        </w:rPr>
        <mc:AlternateContent>
          <mc:Choice Requires="wps">
            <w:drawing>
              <wp:anchor distT="0" distB="0" distL="114300" distR="114300" simplePos="0" relativeHeight="251661312" behindDoc="0" locked="0" layoutInCell="1" allowOverlap="1" wp14:anchorId="733048B3" wp14:editId="1E61E8BA">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top:6.65pt;height:0pt;width:425.2pt;mso-position-horizontal:center;mso-position-horizontal-relative:margin;z-index:251661312;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ZUWPT&#10;AAAABgEAAA8AAAAAAAAAAQAgAAAAIgAAAGRycy9kb3ducmV2LnhtbFBLAQIUABQAAAAIAIdO4kC+&#10;9ufa7AEAANgDAAAOAAAAAAAAAAEAIAAAACIBAABkcnMvZTJvRG9jLnhtbFBLBQYAAAAABgAGAFkB&#10;AACABQAAAAA=&#10;">
                <v:fill on="f" focussize="0,0"/>
                <v:stroke color="#000000" joinstyle="round"/>
                <v:imagedata o:title=""/>
                <o:lock v:ext="edit" aspectratio="f"/>
              </v:line>
            </w:pict>
          </mc:Fallback>
        </mc:AlternateContent>
      </w:r>
    </w:p>
    <w:p w14:paraId="4B4BD5B8" w14:textId="77777777" w:rsidR="008F592F" w:rsidRDefault="00000000">
      <w:pPr>
        <w:widowControl/>
        <w:jc w:val="center"/>
        <w:rPr>
          <w:rFonts w:ascii="Times New Roman" w:eastAsia="黑体" w:hAnsi="Times New Roman"/>
          <w:spacing w:val="20"/>
          <w:w w:val="135"/>
          <w:kern w:val="0"/>
          <w:sz w:val="28"/>
          <w:szCs w:val="20"/>
        </w:rPr>
        <w:sectPr w:rsidR="008F592F">
          <w:footerReference w:type="default" r:id="rId9"/>
          <w:footerReference w:type="first" r:id="rId10"/>
          <w:pgSz w:w="11906" w:h="16838"/>
          <w:pgMar w:top="1440" w:right="1080" w:bottom="1440" w:left="1080" w:header="1418" w:footer="964" w:gutter="0"/>
          <w:pgNumType w:fmt="numberInDash" w:start="1"/>
          <w:cols w:space="720"/>
          <w:formProt w:val="0"/>
          <w:titlePg/>
          <w:docGrid w:type="lines" w:linePitch="312"/>
        </w:sectPr>
      </w:pPr>
      <w:r>
        <w:rPr>
          <w:rFonts w:ascii="Times New Roman" w:eastAsia="黑体" w:hAnsi="Times New Roman"/>
          <w:spacing w:val="20"/>
          <w:w w:val="135"/>
          <w:kern w:val="0"/>
          <w:sz w:val="28"/>
          <w:szCs w:val="28"/>
        </w:rPr>
        <w:t>中华人民共和国农业农村部</w:t>
      </w:r>
      <w:r>
        <w:rPr>
          <w:rFonts w:ascii="Times New Roman" w:eastAsia="黑体" w:hAnsi="Times New Roman"/>
          <w:spacing w:val="20"/>
          <w:w w:val="135"/>
          <w:kern w:val="0"/>
          <w:sz w:val="28"/>
          <w:szCs w:val="28"/>
        </w:rPr>
        <w:t xml:space="preserve"> </w:t>
      </w:r>
      <w:r>
        <w:rPr>
          <w:rFonts w:ascii="Times New Roman" w:eastAsia="黑体" w:hAnsi="Times New Roman"/>
          <w:spacing w:val="20"/>
          <w:w w:val="135"/>
          <w:kern w:val="0"/>
          <w:sz w:val="28"/>
          <w:szCs w:val="20"/>
        </w:rPr>
        <w:t>发布</w:t>
      </w:r>
    </w:p>
    <w:p w14:paraId="3752E0CA" w14:textId="77777777" w:rsidR="008F592F" w:rsidRDefault="008F592F">
      <w:pPr>
        <w:rPr>
          <w:rFonts w:ascii="Times New Roman" w:eastAsia="黑体" w:hAnsi="Times New Roman"/>
          <w:sz w:val="28"/>
          <w:szCs w:val="20"/>
        </w:rPr>
        <w:sectPr w:rsidR="008F592F">
          <w:footerReference w:type="default" r:id="rId11"/>
          <w:type w:val="continuous"/>
          <w:pgSz w:w="11906" w:h="16838"/>
          <w:pgMar w:top="1440" w:right="1080" w:bottom="1440" w:left="1080" w:header="1418" w:footer="964" w:gutter="0"/>
          <w:pgNumType w:fmt="numberInDash"/>
          <w:cols w:space="720"/>
          <w:formProt w:val="0"/>
          <w:docGrid w:type="lines" w:linePitch="312"/>
        </w:sectPr>
      </w:pPr>
    </w:p>
    <w:p w14:paraId="01868346" w14:textId="77777777" w:rsidR="008F592F" w:rsidRDefault="00000000">
      <w:pPr>
        <w:pStyle w:val="a8"/>
        <w:rPr>
          <w:rFonts w:ascii="Times New Roman"/>
        </w:rPr>
      </w:pPr>
      <w:r>
        <w:rPr>
          <w:rFonts w:ascii="Times New Roman"/>
        </w:rPr>
        <w:lastRenderedPageBreak/>
        <w:t>前</w:t>
      </w:r>
      <w:bookmarkStart w:id="2" w:name="BKQY"/>
      <w:r>
        <w:rPr>
          <w:rFonts w:ascii="Times New Roman"/>
        </w:rPr>
        <w:t>  </w:t>
      </w:r>
      <w:r>
        <w:rPr>
          <w:rFonts w:ascii="Times New Roman"/>
        </w:rPr>
        <w:t>言</w:t>
      </w:r>
      <w:bookmarkEnd w:id="2"/>
    </w:p>
    <w:p w14:paraId="2066B866" w14:textId="77777777" w:rsidR="008F592F" w:rsidRDefault="00000000">
      <w:pPr>
        <w:pStyle w:val="a9"/>
        <w:spacing w:line="300" w:lineRule="auto"/>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1FBCDBBA" w14:textId="77777777" w:rsidR="008F592F" w:rsidRDefault="00000000">
      <w:pPr>
        <w:pStyle w:val="a9"/>
        <w:spacing w:line="300" w:lineRule="auto"/>
        <w:rPr>
          <w:rFonts w:ascii="Times New Roman"/>
        </w:rPr>
      </w:pPr>
      <w:r>
        <w:rPr>
          <w:rFonts w:ascii="Times New Roman"/>
        </w:rPr>
        <w:t>请注意本文件的某些内容可能涉及专利。本文件的发布机构不承担识别专利的责任。</w:t>
      </w:r>
    </w:p>
    <w:p w14:paraId="2B46362A" w14:textId="77777777" w:rsidR="008F592F" w:rsidRDefault="00000000">
      <w:pPr>
        <w:pStyle w:val="a9"/>
        <w:spacing w:line="300" w:lineRule="auto"/>
        <w:rPr>
          <w:rFonts w:ascii="Times New Roman"/>
        </w:rPr>
      </w:pPr>
      <w:r>
        <w:rPr>
          <w:rFonts w:ascii="Times New Roman"/>
        </w:rPr>
        <w:t>本文件由农业农村部种植业管理司提出并归口。</w:t>
      </w:r>
    </w:p>
    <w:p w14:paraId="3F98C54F" w14:textId="77777777" w:rsidR="008F592F" w:rsidRDefault="00000000">
      <w:pPr>
        <w:pStyle w:val="a9"/>
        <w:spacing w:line="300" w:lineRule="auto"/>
        <w:rPr>
          <w:rFonts w:ascii="Times New Roman"/>
        </w:rPr>
      </w:pPr>
      <w:r>
        <w:rPr>
          <w:rFonts w:ascii="Times New Roman"/>
        </w:rPr>
        <w:t>本标准起草单位：</w:t>
      </w:r>
      <w:r>
        <w:rPr>
          <w:rFonts w:ascii="Times New Roman" w:hint="eastAsia"/>
        </w:rPr>
        <w:t>中国农业科学院植物保护研究所、农业农村部农药检定所。</w:t>
      </w:r>
      <w:r>
        <w:rPr>
          <w:rFonts w:ascii="Times New Roman"/>
        </w:rPr>
        <w:t xml:space="preserve"> </w:t>
      </w:r>
    </w:p>
    <w:p w14:paraId="62D633F0" w14:textId="77777777" w:rsidR="008F592F" w:rsidRDefault="00000000">
      <w:pPr>
        <w:pStyle w:val="a9"/>
        <w:spacing w:line="300" w:lineRule="auto"/>
        <w:rPr>
          <w:rFonts w:ascii="Times New Roman"/>
        </w:rPr>
      </w:pPr>
      <w:r>
        <w:rPr>
          <w:rFonts w:ascii="Times New Roman"/>
        </w:rPr>
        <w:t>本标准主要起草人：</w:t>
      </w:r>
    </w:p>
    <w:p w14:paraId="4E93643D" w14:textId="77777777" w:rsidR="008F592F" w:rsidRDefault="00000000">
      <w:pPr>
        <w:pStyle w:val="aa"/>
        <w:rPr>
          <w:rFonts w:ascii="Times New Roman" w:hAnsi="Times New Roman"/>
        </w:rPr>
      </w:pPr>
      <w:r>
        <w:rPr>
          <w:rFonts w:ascii="Times New Roman" w:hAnsi="Times New Roman" w:hint="eastAsia"/>
        </w:rPr>
        <w:lastRenderedPageBreak/>
        <w:t>食品中</w:t>
      </w:r>
      <w:r>
        <w:rPr>
          <w:rFonts w:ascii="Times New Roman" w:hAnsi="Times New Roman"/>
        </w:rPr>
        <w:t>农药残留物</w:t>
      </w:r>
      <w:r>
        <w:rPr>
          <w:rFonts w:ascii="Times New Roman" w:hAnsi="Times New Roman" w:hint="eastAsia"/>
        </w:rPr>
        <w:t>定义</w:t>
      </w:r>
      <w:r>
        <w:rPr>
          <w:rFonts w:ascii="Times New Roman" w:hAnsi="Times New Roman"/>
        </w:rPr>
        <w:t>评估指南</w:t>
      </w:r>
    </w:p>
    <w:p w14:paraId="07796123" w14:textId="77777777" w:rsidR="008F592F" w:rsidRDefault="00000000">
      <w:pPr>
        <w:pStyle w:val="a"/>
        <w:rPr>
          <w:rFonts w:ascii="Times New Roman"/>
        </w:rPr>
      </w:pPr>
      <w:r>
        <w:rPr>
          <w:rFonts w:ascii="Times New Roman"/>
        </w:rPr>
        <w:t>范围</w:t>
      </w:r>
    </w:p>
    <w:p w14:paraId="5690418C" w14:textId="77777777" w:rsidR="008F592F" w:rsidRDefault="00000000">
      <w:pPr>
        <w:pStyle w:val="a9"/>
        <w:spacing w:line="300" w:lineRule="auto"/>
        <w:rPr>
          <w:rFonts w:ascii="Times New Roman"/>
        </w:rPr>
      </w:pPr>
      <w:r>
        <w:rPr>
          <w:rFonts w:ascii="Times New Roman"/>
        </w:rPr>
        <w:t>本文件</w:t>
      </w:r>
      <w:r>
        <w:rPr>
          <w:rFonts w:ascii="Times New Roman" w:hint="eastAsia"/>
        </w:rPr>
        <w:t>规定</w:t>
      </w:r>
      <w:r>
        <w:rPr>
          <w:rFonts w:ascii="Times New Roman"/>
        </w:rPr>
        <w:t>了</w:t>
      </w:r>
      <w:r>
        <w:rPr>
          <w:rFonts w:ascii="Times New Roman" w:hint="eastAsia"/>
        </w:rPr>
        <w:t>食品中</w:t>
      </w:r>
      <w:r>
        <w:rPr>
          <w:rFonts w:ascii="Times New Roman"/>
        </w:rPr>
        <w:t>农药残留物</w:t>
      </w:r>
      <w:r>
        <w:rPr>
          <w:rFonts w:ascii="Times New Roman" w:hint="eastAsia"/>
        </w:rPr>
        <w:t>定义</w:t>
      </w:r>
      <w:r>
        <w:rPr>
          <w:rFonts w:ascii="Times New Roman"/>
        </w:rPr>
        <w:t>评估的</w:t>
      </w:r>
      <w:r>
        <w:rPr>
          <w:rFonts w:ascii="Times New Roman" w:hint="eastAsia"/>
        </w:rPr>
        <w:t>基本原则和程序</w:t>
      </w:r>
      <w:r>
        <w:rPr>
          <w:rFonts w:ascii="Times New Roman"/>
        </w:rPr>
        <w:t>。</w:t>
      </w:r>
    </w:p>
    <w:p w14:paraId="772F7CC9" w14:textId="77777777" w:rsidR="008F592F" w:rsidRDefault="00000000">
      <w:pPr>
        <w:pStyle w:val="a9"/>
        <w:spacing w:line="300" w:lineRule="auto"/>
        <w:rPr>
          <w:rFonts w:ascii="Times New Roman"/>
        </w:rPr>
      </w:pPr>
      <w:r>
        <w:rPr>
          <w:rFonts w:ascii="Times New Roman"/>
        </w:rPr>
        <w:t>本文件适用于膳食风险评估残留物</w:t>
      </w:r>
      <w:r>
        <w:rPr>
          <w:rFonts w:ascii="Times New Roman" w:hint="eastAsia"/>
        </w:rPr>
        <w:t>定义</w:t>
      </w:r>
      <w:r>
        <w:rPr>
          <w:rFonts w:ascii="Times New Roman"/>
        </w:rPr>
        <w:t>和监测残留物</w:t>
      </w:r>
      <w:r>
        <w:rPr>
          <w:rFonts w:ascii="Times New Roman" w:hint="eastAsia"/>
        </w:rPr>
        <w:t>定义</w:t>
      </w:r>
      <w:r>
        <w:rPr>
          <w:rFonts w:ascii="Times New Roman"/>
        </w:rPr>
        <w:t>的评估。</w:t>
      </w:r>
    </w:p>
    <w:p w14:paraId="73D31E8E" w14:textId="77777777" w:rsidR="008F592F" w:rsidRDefault="00000000">
      <w:pPr>
        <w:pStyle w:val="a"/>
        <w:rPr>
          <w:rFonts w:ascii="Times New Roman"/>
        </w:rPr>
      </w:pPr>
      <w:r>
        <w:rPr>
          <w:rFonts w:ascii="Times New Roman"/>
        </w:rPr>
        <w:t>规范性引用文件</w:t>
      </w:r>
    </w:p>
    <w:p w14:paraId="05483164" w14:textId="77777777" w:rsidR="008F592F" w:rsidRDefault="00000000">
      <w:pPr>
        <w:pStyle w:val="a9"/>
        <w:spacing w:line="300" w:lineRule="auto"/>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D9B69EC" w14:textId="77777777" w:rsidR="008F592F" w:rsidRDefault="00000000">
      <w:pPr>
        <w:pStyle w:val="a9"/>
        <w:spacing w:line="300" w:lineRule="auto"/>
        <w:rPr>
          <w:rFonts w:ascii="Times New Roman"/>
        </w:rPr>
      </w:pPr>
      <w:r>
        <w:rPr>
          <w:rFonts w:ascii="Times New Roman"/>
        </w:rPr>
        <w:t xml:space="preserve">GB 2763 </w:t>
      </w:r>
      <w:r>
        <w:rPr>
          <w:rFonts w:ascii="Times New Roman"/>
        </w:rPr>
        <w:t>食品安全国家标准</w:t>
      </w:r>
      <w:r>
        <w:rPr>
          <w:rFonts w:ascii="Times New Roman"/>
        </w:rPr>
        <w:t xml:space="preserve"> </w:t>
      </w:r>
      <w:r>
        <w:rPr>
          <w:rFonts w:ascii="Times New Roman"/>
        </w:rPr>
        <w:t>食品中农药最大残留限量</w:t>
      </w:r>
    </w:p>
    <w:p w14:paraId="0E3B5D1A" w14:textId="77777777" w:rsidR="008F592F" w:rsidRDefault="00000000">
      <w:pPr>
        <w:pStyle w:val="a9"/>
        <w:spacing w:line="300" w:lineRule="auto"/>
        <w:rPr>
          <w:rFonts w:ascii="Times New Roman"/>
        </w:rPr>
      </w:pPr>
      <w:r>
        <w:rPr>
          <w:rFonts w:ascii="Times New Roman"/>
        </w:rPr>
        <w:t xml:space="preserve">NY/T </w:t>
      </w:r>
      <w:proofErr w:type="spellStart"/>
      <w:r>
        <w:rPr>
          <w:rFonts w:ascii="Times New Roman"/>
        </w:rPr>
        <w:t>xxxx</w:t>
      </w:r>
      <w:proofErr w:type="spellEnd"/>
      <w:r>
        <w:rPr>
          <w:rFonts w:ascii="Times New Roman"/>
        </w:rPr>
        <w:t xml:space="preserve"> </w:t>
      </w:r>
      <w:r>
        <w:rPr>
          <w:rFonts w:ascii="Times New Roman"/>
        </w:rPr>
        <w:t>农药主要代谢物毒理学评价程序</w:t>
      </w:r>
    </w:p>
    <w:p w14:paraId="166F642C" w14:textId="77777777" w:rsidR="008F592F" w:rsidRDefault="00000000">
      <w:pPr>
        <w:pStyle w:val="a"/>
        <w:numPr>
          <w:ilvl w:val="0"/>
          <w:numId w:val="0"/>
        </w:numPr>
        <w:rPr>
          <w:rFonts w:ascii="Times New Roman"/>
        </w:rPr>
      </w:pPr>
      <w:r>
        <w:rPr>
          <w:rFonts w:ascii="Times New Roman"/>
        </w:rPr>
        <w:t xml:space="preserve">3  </w:t>
      </w:r>
      <w:r>
        <w:rPr>
          <w:rFonts w:ascii="Times New Roman"/>
        </w:rPr>
        <w:t>术语和定义</w:t>
      </w:r>
    </w:p>
    <w:p w14:paraId="4A62A887" w14:textId="77777777" w:rsidR="008F592F" w:rsidRDefault="00000000">
      <w:pPr>
        <w:pStyle w:val="a9"/>
        <w:spacing w:line="300" w:lineRule="auto"/>
        <w:rPr>
          <w:rFonts w:ascii="Times New Roman"/>
        </w:rPr>
      </w:pPr>
      <w:r>
        <w:rPr>
          <w:rFonts w:ascii="Times New Roman"/>
        </w:rPr>
        <w:t>下列术语和定义适用于本文件。</w:t>
      </w:r>
    </w:p>
    <w:p w14:paraId="45E813E4" w14:textId="77777777" w:rsidR="008F592F" w:rsidRDefault="00000000">
      <w:pPr>
        <w:pStyle w:val="a9"/>
        <w:ind w:firstLineChars="0" w:firstLine="0"/>
        <w:rPr>
          <w:rFonts w:ascii="Times New Roman" w:eastAsia="黑体"/>
          <w:szCs w:val="21"/>
        </w:rPr>
      </w:pPr>
      <w:r>
        <w:rPr>
          <w:rFonts w:ascii="Times New Roman" w:eastAsia="黑体"/>
          <w:szCs w:val="21"/>
        </w:rPr>
        <w:t xml:space="preserve">3.1 </w:t>
      </w:r>
    </w:p>
    <w:p w14:paraId="734FEB4A" w14:textId="77777777" w:rsidR="008F592F" w:rsidRDefault="00000000">
      <w:pPr>
        <w:pStyle w:val="a9"/>
        <w:spacing w:line="300" w:lineRule="auto"/>
        <w:rPr>
          <w:rFonts w:ascii="Times New Roman"/>
        </w:rPr>
      </w:pPr>
      <w:r>
        <w:rPr>
          <w:rFonts w:ascii="Times New Roman"/>
        </w:rPr>
        <w:t>农药残留物</w:t>
      </w:r>
      <w:r>
        <w:rPr>
          <w:rFonts w:ascii="Times New Roman" w:hint="eastAsia"/>
        </w:rPr>
        <w:t>定义</w:t>
      </w:r>
      <w:r>
        <w:rPr>
          <w:rFonts w:ascii="Times New Roman" w:hint="eastAsia"/>
        </w:rPr>
        <w:t xml:space="preserve">  </w:t>
      </w:r>
      <w:r>
        <w:rPr>
          <w:rFonts w:ascii="Times New Roman"/>
        </w:rPr>
        <w:t>pesticide residue definition</w:t>
      </w:r>
    </w:p>
    <w:p w14:paraId="5C027170" w14:textId="77777777" w:rsidR="008F592F" w:rsidRDefault="00000000">
      <w:pPr>
        <w:pStyle w:val="a9"/>
        <w:spacing w:line="300" w:lineRule="auto"/>
        <w:rPr>
          <w:rFonts w:ascii="Times New Roman"/>
        </w:rPr>
      </w:pPr>
      <w:bookmarkStart w:id="3" w:name="OLE_LINK20"/>
      <w:r>
        <w:rPr>
          <w:rFonts w:ascii="Times New Roman"/>
        </w:rPr>
        <w:t>是</w:t>
      </w:r>
      <w:r>
        <w:rPr>
          <w:rFonts w:ascii="Times New Roman" w:hint="eastAsia"/>
        </w:rPr>
        <w:t>指</w:t>
      </w:r>
      <w:r>
        <w:rPr>
          <w:rFonts w:ascii="Times New Roman"/>
        </w:rPr>
        <w:t>对施用于可食用或可饲用的作物上的农药，在进行</w:t>
      </w:r>
      <w:r>
        <w:rPr>
          <w:rFonts w:ascii="Times New Roman" w:hint="eastAsia"/>
        </w:rPr>
        <w:t>农药残留</w:t>
      </w:r>
      <w:r>
        <w:rPr>
          <w:rFonts w:ascii="Times New Roman"/>
        </w:rPr>
        <w:t>膳食摄入风险评估以及制定</w:t>
      </w:r>
      <w:r>
        <w:rPr>
          <w:rFonts w:ascii="Times New Roman" w:hint="eastAsia"/>
        </w:rPr>
        <w:t>农药</w:t>
      </w:r>
      <w:r>
        <w:rPr>
          <w:rFonts w:ascii="Times New Roman"/>
        </w:rPr>
        <w:t>最大</w:t>
      </w:r>
      <w:r>
        <w:rPr>
          <w:rFonts w:ascii="Times New Roman" w:hint="eastAsia"/>
        </w:rPr>
        <w:t>残留</w:t>
      </w:r>
      <w:r>
        <w:rPr>
          <w:rFonts w:ascii="Times New Roman"/>
        </w:rPr>
        <w:t>限量时所明确的残留</w:t>
      </w:r>
      <w:r>
        <w:rPr>
          <w:rFonts w:ascii="Times New Roman" w:hint="eastAsia"/>
        </w:rPr>
        <w:t>物，通常包括农药母体化合物及具有毒理学意义的农药</w:t>
      </w:r>
      <w:r>
        <w:rPr>
          <w:rFonts w:ascii="Times New Roman"/>
        </w:rPr>
        <w:t>衍生物，如农药代谢物</w:t>
      </w:r>
      <w:r>
        <w:rPr>
          <w:rFonts w:ascii="Times New Roman" w:hint="eastAsia"/>
        </w:rPr>
        <w:t>、转化物、反应产物及杂质</w:t>
      </w:r>
      <w:r>
        <w:rPr>
          <w:rFonts w:ascii="Times New Roman"/>
        </w:rPr>
        <w:t>等。</w:t>
      </w:r>
    </w:p>
    <w:bookmarkEnd w:id="3"/>
    <w:p w14:paraId="64C6C3C1" w14:textId="77777777" w:rsidR="008F592F" w:rsidRDefault="00000000">
      <w:pPr>
        <w:pStyle w:val="a9"/>
        <w:ind w:firstLineChars="0" w:firstLine="0"/>
        <w:rPr>
          <w:rFonts w:ascii="Times New Roman" w:eastAsia="黑体"/>
          <w:szCs w:val="21"/>
        </w:rPr>
      </w:pPr>
      <w:r>
        <w:rPr>
          <w:rFonts w:ascii="Times New Roman" w:eastAsia="黑体"/>
          <w:szCs w:val="21"/>
        </w:rPr>
        <w:t>3.2</w:t>
      </w:r>
    </w:p>
    <w:p w14:paraId="3850BCCC" w14:textId="77777777" w:rsidR="008F592F" w:rsidRDefault="00000000">
      <w:pPr>
        <w:pStyle w:val="a9"/>
        <w:spacing w:line="300" w:lineRule="auto"/>
        <w:rPr>
          <w:rFonts w:ascii="Times New Roman"/>
        </w:rPr>
      </w:pPr>
      <w:r>
        <w:rPr>
          <w:rFonts w:ascii="Times New Roman" w:hint="eastAsia"/>
        </w:rPr>
        <w:t>农药</w:t>
      </w:r>
      <w:r>
        <w:rPr>
          <w:rFonts w:ascii="Times New Roman"/>
        </w:rPr>
        <w:t>最大残留限量</w:t>
      </w:r>
      <w:r>
        <w:rPr>
          <w:rFonts w:ascii="Times New Roman"/>
        </w:rPr>
        <w:t xml:space="preserve"> </w:t>
      </w:r>
      <w:r>
        <w:rPr>
          <w:rFonts w:ascii="Times New Roman" w:hint="eastAsia"/>
        </w:rPr>
        <w:t xml:space="preserve"> </w:t>
      </w:r>
      <w:r>
        <w:rPr>
          <w:rFonts w:ascii="Times New Roman"/>
        </w:rPr>
        <w:t>maximum residue limit</w:t>
      </w:r>
      <w:r>
        <w:rPr>
          <w:rFonts w:ascii="Times New Roman" w:hint="eastAsia"/>
        </w:rPr>
        <w:t xml:space="preserve"> for pesticide</w:t>
      </w:r>
    </w:p>
    <w:p w14:paraId="0C67B75A" w14:textId="77777777" w:rsidR="008F592F" w:rsidRDefault="00000000">
      <w:pPr>
        <w:pStyle w:val="a9"/>
        <w:spacing w:line="300" w:lineRule="auto"/>
        <w:rPr>
          <w:rFonts w:ascii="Times New Roman"/>
        </w:rPr>
      </w:pPr>
      <w:r>
        <w:rPr>
          <w:rFonts w:ascii="Times New Roman"/>
        </w:rPr>
        <w:t>在食品或农产品内部或表面法定允许的农药最大浓度，以每千克食品或农产品中农药残留的毫克数表示（</w:t>
      </w:r>
      <w:r>
        <w:rPr>
          <w:rFonts w:ascii="Times New Roman"/>
        </w:rPr>
        <w:t>mg/kg</w:t>
      </w:r>
      <w:r>
        <w:rPr>
          <w:rFonts w:ascii="Times New Roman"/>
        </w:rPr>
        <w:t>）。</w:t>
      </w:r>
    </w:p>
    <w:p w14:paraId="01F1B7FD" w14:textId="77777777" w:rsidR="008F592F" w:rsidRDefault="00000000">
      <w:pPr>
        <w:pStyle w:val="a9"/>
        <w:ind w:firstLineChars="0" w:firstLine="0"/>
        <w:rPr>
          <w:rFonts w:ascii="Times New Roman" w:eastAsia="黑体"/>
          <w:szCs w:val="21"/>
        </w:rPr>
      </w:pPr>
      <w:r>
        <w:rPr>
          <w:rFonts w:ascii="Times New Roman" w:eastAsia="黑体"/>
          <w:szCs w:val="21"/>
        </w:rPr>
        <w:t>3.3</w:t>
      </w:r>
    </w:p>
    <w:p w14:paraId="312C128B" w14:textId="77777777" w:rsidR="008F592F" w:rsidRDefault="00000000">
      <w:pPr>
        <w:pStyle w:val="a9"/>
        <w:spacing w:line="300" w:lineRule="auto"/>
        <w:rPr>
          <w:rFonts w:ascii="Times New Roman"/>
        </w:rPr>
      </w:pPr>
      <w:r>
        <w:rPr>
          <w:rFonts w:ascii="Times New Roman"/>
        </w:rPr>
        <w:t>膳食风险评估残留物</w:t>
      </w:r>
      <w:r>
        <w:rPr>
          <w:rFonts w:ascii="Times New Roman" w:hint="eastAsia"/>
        </w:rPr>
        <w:t>定义</w:t>
      </w:r>
      <w:r>
        <w:rPr>
          <w:rFonts w:ascii="Times New Roman"/>
        </w:rPr>
        <w:t xml:space="preserve"> </w:t>
      </w:r>
      <w:r>
        <w:rPr>
          <w:rFonts w:ascii="Times New Roman" w:hint="eastAsia"/>
        </w:rPr>
        <w:t xml:space="preserve"> </w:t>
      </w:r>
      <w:r>
        <w:rPr>
          <w:rFonts w:ascii="Times New Roman"/>
        </w:rPr>
        <w:t>residue definition for dietary risk assessment</w:t>
      </w:r>
    </w:p>
    <w:p w14:paraId="02D029BB" w14:textId="77777777" w:rsidR="008F592F" w:rsidRDefault="00000000">
      <w:pPr>
        <w:pStyle w:val="a9"/>
        <w:spacing w:line="300" w:lineRule="auto"/>
        <w:rPr>
          <w:rFonts w:ascii="Times New Roman"/>
        </w:rPr>
      </w:pPr>
      <w:r>
        <w:rPr>
          <w:rFonts w:ascii="Times New Roman"/>
        </w:rPr>
        <w:t>用于农药残留膳食</w:t>
      </w:r>
      <w:r>
        <w:rPr>
          <w:rFonts w:ascii="Times New Roman" w:hint="eastAsia"/>
        </w:rPr>
        <w:t>摄入</w:t>
      </w:r>
      <w:r>
        <w:rPr>
          <w:rFonts w:ascii="Times New Roman"/>
        </w:rPr>
        <w:t>风险评估的残留物。</w:t>
      </w:r>
    </w:p>
    <w:p w14:paraId="06DD9D24" w14:textId="77777777" w:rsidR="008F592F" w:rsidRDefault="00000000">
      <w:pPr>
        <w:pStyle w:val="a9"/>
        <w:spacing w:line="300" w:lineRule="auto"/>
        <w:ind w:firstLineChars="0" w:firstLine="0"/>
        <w:rPr>
          <w:rFonts w:ascii="Times New Roman" w:eastAsia="黑体"/>
          <w:szCs w:val="21"/>
        </w:rPr>
      </w:pPr>
      <w:r>
        <w:rPr>
          <w:rFonts w:ascii="Times New Roman" w:eastAsia="黑体"/>
          <w:szCs w:val="21"/>
        </w:rPr>
        <w:t>3.4</w:t>
      </w:r>
    </w:p>
    <w:p w14:paraId="7EE21604" w14:textId="77777777" w:rsidR="008F592F" w:rsidRDefault="00000000">
      <w:pPr>
        <w:pStyle w:val="a9"/>
        <w:spacing w:line="300" w:lineRule="auto"/>
        <w:rPr>
          <w:rFonts w:ascii="Times New Roman"/>
        </w:rPr>
      </w:pPr>
      <w:r>
        <w:rPr>
          <w:rFonts w:ascii="Times New Roman"/>
        </w:rPr>
        <w:t>监测残留物</w:t>
      </w:r>
      <w:r>
        <w:rPr>
          <w:rFonts w:ascii="Times New Roman" w:hint="eastAsia"/>
        </w:rPr>
        <w:t>定义</w:t>
      </w:r>
      <w:r>
        <w:rPr>
          <w:rFonts w:ascii="Times New Roman" w:hint="eastAsia"/>
        </w:rPr>
        <w:t xml:space="preserve">  </w:t>
      </w:r>
      <w:r>
        <w:rPr>
          <w:rFonts w:ascii="Times New Roman"/>
        </w:rPr>
        <w:t>residue definition for enforcement</w:t>
      </w:r>
    </w:p>
    <w:p w14:paraId="4273812B" w14:textId="77777777" w:rsidR="008F592F" w:rsidRDefault="00000000">
      <w:pPr>
        <w:pStyle w:val="a9"/>
        <w:spacing w:line="300" w:lineRule="auto"/>
        <w:rPr>
          <w:rFonts w:ascii="Times New Roman"/>
        </w:rPr>
      </w:pPr>
      <w:r>
        <w:rPr>
          <w:rFonts w:ascii="Times New Roman" w:hint="eastAsia"/>
        </w:rPr>
        <w:t>用于食品中</w:t>
      </w:r>
      <w:r>
        <w:rPr>
          <w:rFonts w:ascii="Times New Roman"/>
        </w:rPr>
        <w:t>农药最大残留限量</w:t>
      </w:r>
      <w:r>
        <w:rPr>
          <w:rFonts w:ascii="Times New Roman" w:hint="eastAsia"/>
        </w:rPr>
        <w:t>制定和监测</w:t>
      </w:r>
      <w:r>
        <w:rPr>
          <w:rFonts w:ascii="Times New Roman"/>
        </w:rPr>
        <w:t>的残留物。</w:t>
      </w:r>
    </w:p>
    <w:p w14:paraId="642F2490" w14:textId="77777777" w:rsidR="008F592F" w:rsidRDefault="00000000">
      <w:pPr>
        <w:pStyle w:val="a9"/>
        <w:ind w:firstLineChars="0" w:firstLine="0"/>
        <w:rPr>
          <w:rFonts w:ascii="Times New Roman" w:eastAsia="黑体"/>
          <w:szCs w:val="21"/>
        </w:rPr>
      </w:pPr>
      <w:r>
        <w:rPr>
          <w:rFonts w:ascii="Times New Roman" w:eastAsia="黑体"/>
          <w:szCs w:val="21"/>
        </w:rPr>
        <w:t>3.5</w:t>
      </w:r>
    </w:p>
    <w:p w14:paraId="7F9A8F43" w14:textId="77777777" w:rsidR="008F592F" w:rsidRDefault="00000000">
      <w:pPr>
        <w:pStyle w:val="a9"/>
        <w:spacing w:line="300" w:lineRule="auto"/>
        <w:rPr>
          <w:rFonts w:ascii="Times New Roman"/>
        </w:rPr>
      </w:pPr>
      <w:r>
        <w:rPr>
          <w:rFonts w:ascii="Times New Roman"/>
        </w:rPr>
        <w:t>总放射性残留量</w:t>
      </w:r>
      <w:r>
        <w:rPr>
          <w:rFonts w:ascii="Times New Roman"/>
        </w:rPr>
        <w:t xml:space="preserve"> </w:t>
      </w:r>
      <w:r>
        <w:rPr>
          <w:rFonts w:ascii="Times New Roman" w:hint="eastAsia"/>
        </w:rPr>
        <w:t xml:space="preserve"> </w:t>
      </w:r>
      <w:r>
        <w:rPr>
          <w:rFonts w:ascii="Times New Roman"/>
        </w:rPr>
        <w:t>total radioactive residue (TRR)</w:t>
      </w:r>
    </w:p>
    <w:p w14:paraId="6776ED35" w14:textId="77777777" w:rsidR="008F592F" w:rsidRDefault="00000000">
      <w:pPr>
        <w:pStyle w:val="a9"/>
        <w:spacing w:line="300" w:lineRule="auto"/>
        <w:rPr>
          <w:rFonts w:ascii="Times New Roman"/>
        </w:rPr>
      </w:pPr>
      <w:r>
        <w:rPr>
          <w:rFonts w:ascii="Times New Roman"/>
        </w:rPr>
        <w:t>残留中源于标记农药的母体及代谢物和（或）降解物的总放射性量，包括可提取残留量和结合残留量。</w:t>
      </w:r>
    </w:p>
    <w:p w14:paraId="5876EB6F" w14:textId="77777777" w:rsidR="008F592F" w:rsidRDefault="00000000">
      <w:pPr>
        <w:pStyle w:val="a9"/>
        <w:spacing w:line="300" w:lineRule="auto"/>
        <w:ind w:firstLineChars="0" w:firstLine="0"/>
        <w:rPr>
          <w:rFonts w:ascii="Times New Roman"/>
        </w:rPr>
      </w:pPr>
      <w:r>
        <w:rPr>
          <w:rFonts w:ascii="Times New Roman" w:hint="eastAsia"/>
        </w:rPr>
        <w:lastRenderedPageBreak/>
        <w:t xml:space="preserve">3.6 </w:t>
      </w:r>
    </w:p>
    <w:p w14:paraId="6532F1B7" w14:textId="77777777" w:rsidR="008F592F" w:rsidRDefault="00000000">
      <w:pPr>
        <w:pStyle w:val="a9"/>
        <w:spacing w:line="300" w:lineRule="auto"/>
        <w:rPr>
          <w:rFonts w:ascii="Times New Roman"/>
        </w:rPr>
      </w:pPr>
      <w:r>
        <w:rPr>
          <w:rFonts w:ascii="Times New Roman"/>
        </w:rPr>
        <w:t>母体化合物</w:t>
      </w:r>
      <w:r>
        <w:rPr>
          <w:rFonts w:ascii="Times New Roman"/>
        </w:rPr>
        <w:t xml:space="preserve"> parent compound</w:t>
      </w:r>
    </w:p>
    <w:p w14:paraId="6E6FE500" w14:textId="77777777" w:rsidR="008F592F" w:rsidRDefault="00000000">
      <w:pPr>
        <w:pStyle w:val="a9"/>
        <w:spacing w:line="300" w:lineRule="auto"/>
        <w:rPr>
          <w:rFonts w:ascii="Times New Roman"/>
        </w:rPr>
      </w:pPr>
      <w:r>
        <w:rPr>
          <w:rFonts w:ascii="Times New Roman"/>
        </w:rPr>
        <w:t>是指在代谢、转化、降解等反应过程中，未发生化学结构改变的</w:t>
      </w:r>
      <w:r>
        <w:rPr>
          <w:rFonts w:ascii="Times New Roman" w:hint="eastAsia"/>
        </w:rPr>
        <w:t>农药</w:t>
      </w:r>
      <w:r>
        <w:rPr>
          <w:rFonts w:ascii="Times New Roman"/>
        </w:rPr>
        <w:t>原始化合物。</w:t>
      </w:r>
    </w:p>
    <w:p w14:paraId="55B123F0" w14:textId="77777777" w:rsidR="008F592F" w:rsidRDefault="00000000">
      <w:pPr>
        <w:pStyle w:val="a9"/>
        <w:spacing w:line="300" w:lineRule="auto"/>
        <w:ind w:firstLineChars="0" w:firstLine="0"/>
        <w:rPr>
          <w:rFonts w:ascii="Times New Roman"/>
        </w:rPr>
      </w:pPr>
      <w:r>
        <w:rPr>
          <w:rFonts w:ascii="Times New Roman" w:hint="eastAsia"/>
        </w:rPr>
        <w:t>3.7</w:t>
      </w:r>
    </w:p>
    <w:p w14:paraId="07BCA09B" w14:textId="77777777" w:rsidR="008F592F" w:rsidRDefault="00000000">
      <w:pPr>
        <w:pStyle w:val="a9"/>
        <w:spacing w:line="300" w:lineRule="auto"/>
        <w:rPr>
          <w:rFonts w:ascii="Times New Roman"/>
        </w:rPr>
      </w:pPr>
      <w:r>
        <w:rPr>
          <w:rFonts w:ascii="Times New Roman" w:hint="eastAsia"/>
        </w:rPr>
        <w:t>主要代谢物</w:t>
      </w:r>
      <w:r>
        <w:rPr>
          <w:rFonts w:ascii="Times New Roman" w:hint="eastAsia"/>
        </w:rPr>
        <w:t xml:space="preserve">  major metabolite</w:t>
      </w:r>
    </w:p>
    <w:p w14:paraId="6A6A1BCB" w14:textId="77777777" w:rsidR="008F592F" w:rsidRDefault="00000000">
      <w:pPr>
        <w:pStyle w:val="a9"/>
        <w:spacing w:line="300" w:lineRule="auto"/>
        <w:rPr>
          <w:rFonts w:ascii="Times New Roman"/>
        </w:rPr>
      </w:pPr>
      <w:r>
        <w:rPr>
          <w:rFonts w:ascii="Times New Roman"/>
        </w:rPr>
        <w:t>在植物代谢、动物代谢或后茬作物农药代谢试验中，放射性残留量大于总放射性残留量</w:t>
      </w:r>
      <w:r>
        <w:rPr>
          <w:rFonts w:ascii="Times New Roman"/>
        </w:rPr>
        <w:t>10%</w:t>
      </w:r>
      <w:r>
        <w:rPr>
          <w:rFonts w:ascii="Times New Roman"/>
        </w:rPr>
        <w:t>或残留量大于</w:t>
      </w:r>
      <w:r>
        <w:rPr>
          <w:rFonts w:ascii="Times New Roman"/>
        </w:rPr>
        <w:t xml:space="preserve">0.05 </w:t>
      </w:r>
      <w:proofErr w:type="gramStart"/>
      <w:r>
        <w:rPr>
          <w:rFonts w:ascii="Times New Roman"/>
        </w:rPr>
        <w:t>毫克</w:t>
      </w:r>
      <w:r>
        <w:rPr>
          <w:rFonts w:ascii="Times New Roman"/>
        </w:rPr>
        <w:t>/</w:t>
      </w:r>
      <w:proofErr w:type="gramEnd"/>
      <w:r>
        <w:rPr>
          <w:rFonts w:ascii="Times New Roman"/>
        </w:rPr>
        <w:t>千克的代谢物为主要代谢物。</w:t>
      </w:r>
    </w:p>
    <w:p w14:paraId="03B93183" w14:textId="77777777" w:rsidR="008F592F" w:rsidRDefault="00000000">
      <w:pPr>
        <w:pStyle w:val="a9"/>
        <w:spacing w:line="300" w:lineRule="auto"/>
        <w:ind w:firstLineChars="0" w:firstLine="0"/>
        <w:rPr>
          <w:rFonts w:ascii="Times New Roman"/>
        </w:rPr>
      </w:pPr>
      <w:r>
        <w:rPr>
          <w:rFonts w:ascii="Times New Roman" w:hint="eastAsia"/>
        </w:rPr>
        <w:t xml:space="preserve">3.8 </w:t>
      </w:r>
    </w:p>
    <w:p w14:paraId="72AD1E3E" w14:textId="77777777" w:rsidR="008F592F" w:rsidRDefault="00000000">
      <w:pPr>
        <w:pStyle w:val="a9"/>
        <w:spacing w:line="300" w:lineRule="auto"/>
        <w:rPr>
          <w:rFonts w:ascii="Times New Roman"/>
        </w:rPr>
      </w:pPr>
      <w:bookmarkStart w:id="4" w:name="OLE_LINK1"/>
      <w:r>
        <w:rPr>
          <w:rFonts w:ascii="Times New Roman" w:hint="eastAsia"/>
        </w:rPr>
        <w:t>非主要代谢物</w:t>
      </w:r>
      <w:bookmarkEnd w:id="4"/>
      <w:r>
        <w:rPr>
          <w:rFonts w:ascii="Times New Roman" w:hint="eastAsia"/>
        </w:rPr>
        <w:t xml:space="preserve"> minor metabolite</w:t>
      </w:r>
    </w:p>
    <w:p w14:paraId="766E1E71" w14:textId="77777777" w:rsidR="008F592F" w:rsidRDefault="00000000">
      <w:pPr>
        <w:pStyle w:val="a9"/>
        <w:spacing w:line="300" w:lineRule="auto"/>
        <w:rPr>
          <w:rFonts w:ascii="Times New Roman"/>
        </w:rPr>
      </w:pPr>
      <w:r>
        <w:rPr>
          <w:rFonts w:ascii="Times New Roman"/>
        </w:rPr>
        <w:t>放射性残留量</w:t>
      </w:r>
      <w:r>
        <w:rPr>
          <w:rFonts w:ascii="Times New Roman" w:hint="eastAsia"/>
        </w:rPr>
        <w:t>小</w:t>
      </w:r>
      <w:r>
        <w:rPr>
          <w:rFonts w:ascii="Times New Roman"/>
        </w:rPr>
        <w:t>于总放射性残留量</w:t>
      </w:r>
      <w:r>
        <w:rPr>
          <w:rFonts w:ascii="Times New Roman"/>
        </w:rPr>
        <w:t>10%</w:t>
      </w:r>
      <w:r>
        <w:rPr>
          <w:rFonts w:ascii="Times New Roman"/>
        </w:rPr>
        <w:t>或残留量</w:t>
      </w:r>
      <w:r>
        <w:rPr>
          <w:rFonts w:ascii="Times New Roman" w:hint="eastAsia"/>
        </w:rPr>
        <w:t>小</w:t>
      </w:r>
      <w:r>
        <w:rPr>
          <w:rFonts w:ascii="Times New Roman"/>
        </w:rPr>
        <w:t>于</w:t>
      </w:r>
      <w:r>
        <w:rPr>
          <w:rFonts w:ascii="Times New Roman"/>
        </w:rPr>
        <w:t xml:space="preserve">0.05 </w:t>
      </w:r>
      <w:proofErr w:type="gramStart"/>
      <w:r>
        <w:rPr>
          <w:rFonts w:ascii="Times New Roman"/>
        </w:rPr>
        <w:t>毫克</w:t>
      </w:r>
      <w:r>
        <w:rPr>
          <w:rFonts w:ascii="Times New Roman"/>
        </w:rPr>
        <w:t>/</w:t>
      </w:r>
      <w:proofErr w:type="gramEnd"/>
      <w:r>
        <w:rPr>
          <w:rFonts w:ascii="Times New Roman"/>
        </w:rPr>
        <w:t>千克的代谢物为</w:t>
      </w:r>
      <w:r>
        <w:rPr>
          <w:rFonts w:ascii="Times New Roman" w:hint="eastAsia"/>
        </w:rPr>
        <w:t>非主</w:t>
      </w:r>
      <w:r>
        <w:rPr>
          <w:rFonts w:ascii="Times New Roman"/>
        </w:rPr>
        <w:t>要代谢物。</w:t>
      </w:r>
    </w:p>
    <w:p w14:paraId="7992C0DF" w14:textId="77777777" w:rsidR="008F592F" w:rsidRDefault="00000000">
      <w:pPr>
        <w:pStyle w:val="a9"/>
        <w:spacing w:line="300" w:lineRule="auto"/>
        <w:ind w:firstLineChars="0" w:firstLine="0"/>
        <w:rPr>
          <w:rFonts w:ascii="Times New Roman"/>
        </w:rPr>
      </w:pPr>
      <w:r>
        <w:rPr>
          <w:rFonts w:ascii="Times New Roman"/>
        </w:rPr>
        <w:t>3.</w:t>
      </w:r>
      <w:r>
        <w:rPr>
          <w:rFonts w:ascii="Times New Roman" w:hint="eastAsia"/>
        </w:rPr>
        <w:t>9</w:t>
      </w:r>
      <w:r>
        <w:rPr>
          <w:rFonts w:ascii="Times New Roman"/>
        </w:rPr>
        <w:t xml:space="preserve"> </w:t>
      </w:r>
    </w:p>
    <w:p w14:paraId="0DFE138A" w14:textId="77777777" w:rsidR="008F592F" w:rsidRDefault="00000000">
      <w:pPr>
        <w:pStyle w:val="a9"/>
        <w:rPr>
          <w:rFonts w:ascii="Times New Roman"/>
        </w:rPr>
      </w:pPr>
      <w:r>
        <w:rPr>
          <w:rFonts w:ascii="Times New Roman"/>
        </w:rPr>
        <w:t>理论代谢物</w:t>
      </w:r>
      <w:r>
        <w:rPr>
          <w:rFonts w:ascii="Times New Roman" w:hint="eastAsia"/>
        </w:rPr>
        <w:t xml:space="preserve">  t</w:t>
      </w:r>
      <w:r>
        <w:rPr>
          <w:rFonts w:ascii="Times New Roman"/>
        </w:rPr>
        <w:t>heoretical metabolite</w:t>
      </w:r>
    </w:p>
    <w:p w14:paraId="67405798" w14:textId="77777777" w:rsidR="008F592F" w:rsidRDefault="00000000">
      <w:pPr>
        <w:pStyle w:val="a9"/>
        <w:spacing w:line="300" w:lineRule="auto"/>
        <w:rPr>
          <w:rFonts w:ascii="Times New Roman"/>
        </w:rPr>
      </w:pPr>
      <w:r>
        <w:rPr>
          <w:rFonts w:ascii="Times New Roman"/>
        </w:rPr>
        <w:t>指基于母体化合物的化学结构特征（如官能团、易断裂键、已知生物转化规律或酶促反应类型），通过推理或计算预测可能在生物体内代谢反应生成的潜在代谢物。</w:t>
      </w:r>
    </w:p>
    <w:p w14:paraId="2A6D407B" w14:textId="77777777" w:rsidR="008F592F" w:rsidRDefault="00000000">
      <w:pPr>
        <w:pStyle w:val="a"/>
        <w:numPr>
          <w:ilvl w:val="0"/>
          <w:numId w:val="0"/>
        </w:numPr>
        <w:rPr>
          <w:rFonts w:ascii="Times New Roman"/>
        </w:rPr>
      </w:pPr>
      <w:r>
        <w:rPr>
          <w:rFonts w:ascii="Times New Roman"/>
        </w:rPr>
        <w:t xml:space="preserve">4 </w:t>
      </w:r>
      <w:r>
        <w:rPr>
          <w:rFonts w:ascii="Times New Roman" w:hint="eastAsia"/>
        </w:rPr>
        <w:t>基本原则</w:t>
      </w:r>
    </w:p>
    <w:p w14:paraId="3C4F757E" w14:textId="77777777" w:rsidR="008F592F" w:rsidRDefault="00000000">
      <w:pPr>
        <w:adjustRightInd w:val="0"/>
        <w:snapToGrid w:val="0"/>
        <w:spacing w:line="360" w:lineRule="auto"/>
        <w:ind w:firstLineChars="200" w:firstLine="420"/>
        <w:rPr>
          <w:rFonts w:ascii="Times New Roman" w:hAnsi="Times New Roman"/>
        </w:rPr>
      </w:pPr>
      <w:bookmarkStart w:id="5" w:name="OLE_LINK5"/>
      <w:r>
        <w:rPr>
          <w:rFonts w:ascii="Times New Roman" w:hAnsi="Times New Roman"/>
        </w:rPr>
        <w:t>根据用途不同，农药残留物</w:t>
      </w:r>
      <w:r>
        <w:rPr>
          <w:rFonts w:ascii="Times New Roman" w:hAnsi="Times New Roman" w:hint="eastAsia"/>
        </w:rPr>
        <w:t>定义可分为</w:t>
      </w:r>
      <w:r>
        <w:rPr>
          <w:rFonts w:ascii="Times New Roman" w:hAnsi="Times New Roman"/>
        </w:rPr>
        <w:t>膳食风险评估残留物</w:t>
      </w:r>
      <w:r>
        <w:rPr>
          <w:rFonts w:ascii="Times New Roman" w:hAnsi="Times New Roman" w:hint="eastAsia"/>
        </w:rPr>
        <w:t>定义</w:t>
      </w:r>
      <w:r>
        <w:rPr>
          <w:rFonts w:ascii="Times New Roman" w:hAnsi="Times New Roman"/>
        </w:rPr>
        <w:t>和监测残留物</w:t>
      </w:r>
      <w:r>
        <w:rPr>
          <w:rFonts w:ascii="Times New Roman" w:hAnsi="Times New Roman" w:hint="eastAsia"/>
        </w:rPr>
        <w:t>定义。</w:t>
      </w:r>
      <w:bookmarkEnd w:id="5"/>
    </w:p>
    <w:p w14:paraId="4F5B2F33" w14:textId="77777777" w:rsidR="008F592F" w:rsidRDefault="00000000">
      <w:pPr>
        <w:adjustRightInd w:val="0"/>
        <w:snapToGrid w:val="0"/>
        <w:spacing w:line="360" w:lineRule="auto"/>
        <w:ind w:firstLineChars="200" w:firstLine="420"/>
        <w:rPr>
          <w:rFonts w:ascii="Times New Roman"/>
        </w:rPr>
      </w:pPr>
      <w:r>
        <w:rPr>
          <w:rFonts w:ascii="Times New Roman"/>
        </w:rPr>
        <w:t>膳食风险评估残留物</w:t>
      </w:r>
      <w:r>
        <w:rPr>
          <w:rFonts w:ascii="Times New Roman" w:hint="eastAsia"/>
        </w:rPr>
        <w:t>定义</w:t>
      </w:r>
      <w:r>
        <w:rPr>
          <w:rFonts w:ascii="Times New Roman"/>
        </w:rPr>
        <w:t>主要用于开展</w:t>
      </w:r>
      <w:r>
        <w:rPr>
          <w:rFonts w:ascii="Times New Roman" w:hint="eastAsia"/>
        </w:rPr>
        <w:t>农药残留</w:t>
      </w:r>
      <w:r>
        <w:rPr>
          <w:rFonts w:ascii="Times New Roman"/>
        </w:rPr>
        <w:t>膳食</w:t>
      </w:r>
      <w:r>
        <w:rPr>
          <w:rFonts w:ascii="Times New Roman" w:hint="eastAsia"/>
        </w:rPr>
        <w:t>摄入</w:t>
      </w:r>
      <w:r>
        <w:rPr>
          <w:rFonts w:ascii="Times New Roman"/>
        </w:rPr>
        <w:t>风险评估使用，</w:t>
      </w:r>
      <w:r>
        <w:rPr>
          <w:rFonts w:ascii="Times New Roman" w:hint="eastAsia"/>
        </w:rPr>
        <w:t>其</w:t>
      </w:r>
      <w:r>
        <w:rPr>
          <w:rFonts w:ascii="Times New Roman"/>
        </w:rPr>
        <w:t>重点</w:t>
      </w:r>
      <w:r>
        <w:rPr>
          <w:rFonts w:ascii="Times New Roman" w:hint="eastAsia"/>
        </w:rPr>
        <w:t>应</w:t>
      </w:r>
      <w:r>
        <w:rPr>
          <w:rFonts w:ascii="Times New Roman"/>
        </w:rPr>
        <w:t>考虑残留物的毒理学意义、暴露量等因素。监测残留物</w:t>
      </w:r>
      <w:r>
        <w:rPr>
          <w:rFonts w:ascii="Times New Roman" w:hint="eastAsia"/>
        </w:rPr>
        <w:t>定义</w:t>
      </w:r>
      <w:r>
        <w:rPr>
          <w:rFonts w:ascii="Times New Roman"/>
        </w:rPr>
        <w:t>主要用于最大残留限量标准</w:t>
      </w:r>
      <w:r>
        <w:rPr>
          <w:rFonts w:ascii="Times New Roman" w:hint="eastAsia"/>
        </w:rPr>
        <w:t>制定和残留监测</w:t>
      </w:r>
      <w:r>
        <w:rPr>
          <w:rFonts w:ascii="Times New Roman"/>
        </w:rPr>
        <w:t>，</w:t>
      </w:r>
      <w:r>
        <w:rPr>
          <w:rFonts w:ascii="Times New Roman" w:hint="eastAsia"/>
        </w:rPr>
        <w:t>其</w:t>
      </w:r>
      <w:r>
        <w:rPr>
          <w:rFonts w:ascii="Times New Roman"/>
        </w:rPr>
        <w:t>重点</w:t>
      </w:r>
      <w:r>
        <w:rPr>
          <w:rFonts w:ascii="Times New Roman" w:hint="eastAsia"/>
        </w:rPr>
        <w:t>应考虑农药残留物</w:t>
      </w:r>
      <w:r>
        <w:rPr>
          <w:rFonts w:ascii="Times New Roman"/>
        </w:rPr>
        <w:t>在食品中稳定存在</w:t>
      </w:r>
      <w:r>
        <w:rPr>
          <w:rFonts w:ascii="Times New Roman" w:hint="eastAsia"/>
        </w:rPr>
        <w:t>和分析方法的可用性</w:t>
      </w:r>
      <w:r>
        <w:rPr>
          <w:rFonts w:ascii="Times New Roman"/>
        </w:rPr>
        <w:t>。</w:t>
      </w:r>
      <w:r>
        <w:rPr>
          <w:rFonts w:ascii="Times New Roman" w:hint="eastAsia"/>
        </w:rPr>
        <w:t>当使用代谢试验数据进行农药残留物定义评估时，参照本指南进行。</w:t>
      </w:r>
    </w:p>
    <w:p w14:paraId="782E9BDA" w14:textId="77777777" w:rsidR="008F592F" w:rsidRDefault="00000000">
      <w:pPr>
        <w:pStyle w:val="a"/>
        <w:numPr>
          <w:ilvl w:val="0"/>
          <w:numId w:val="0"/>
        </w:numPr>
        <w:rPr>
          <w:rFonts w:ascii="Times New Roman"/>
        </w:rPr>
      </w:pPr>
      <w:r>
        <w:rPr>
          <w:rFonts w:ascii="Times New Roman" w:hint="eastAsia"/>
        </w:rPr>
        <w:t>5</w:t>
      </w:r>
      <w:r>
        <w:rPr>
          <w:rFonts w:ascii="Times New Roman"/>
        </w:rPr>
        <w:t xml:space="preserve"> </w:t>
      </w:r>
      <w:bookmarkStart w:id="6" w:name="OLE_LINK19"/>
      <w:r>
        <w:rPr>
          <w:rFonts w:ascii="Times New Roman"/>
        </w:rPr>
        <w:t>膳食风险评估残留物</w:t>
      </w:r>
      <w:r>
        <w:rPr>
          <w:rFonts w:ascii="Times New Roman" w:hint="eastAsia"/>
        </w:rPr>
        <w:t>定义</w:t>
      </w:r>
      <w:bookmarkEnd w:id="6"/>
    </w:p>
    <w:p w14:paraId="2F1E02B7"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膳食风险评估残留物</w:t>
      </w:r>
      <w:r>
        <w:rPr>
          <w:rFonts w:ascii="Times New Roman" w:hAnsi="Times New Roman" w:hint="eastAsia"/>
          <w:kern w:val="0"/>
          <w:szCs w:val="20"/>
        </w:rPr>
        <w:t>定义</w:t>
      </w:r>
      <w:r>
        <w:rPr>
          <w:rFonts w:ascii="Times New Roman" w:hAnsi="Times New Roman"/>
          <w:kern w:val="0"/>
          <w:szCs w:val="20"/>
        </w:rPr>
        <w:t>需综合考虑食品中残留物的潜在暴露量和毒性特征，原则上对膳食</w:t>
      </w:r>
      <w:r>
        <w:rPr>
          <w:rFonts w:ascii="Times New Roman" w:hAnsi="Times New Roman" w:hint="eastAsia"/>
          <w:kern w:val="0"/>
          <w:szCs w:val="20"/>
        </w:rPr>
        <w:t>摄入</w:t>
      </w:r>
      <w:r>
        <w:rPr>
          <w:rFonts w:ascii="Times New Roman" w:hAnsi="Times New Roman"/>
          <w:kern w:val="0"/>
          <w:szCs w:val="20"/>
        </w:rPr>
        <w:t>风险有主要贡献的残留物均</w:t>
      </w:r>
      <w:r>
        <w:rPr>
          <w:rFonts w:ascii="Times New Roman" w:hAnsi="Times New Roman" w:hint="eastAsia"/>
          <w:kern w:val="0"/>
          <w:szCs w:val="20"/>
        </w:rPr>
        <w:t>应纳入</w:t>
      </w:r>
      <w:r>
        <w:rPr>
          <w:rFonts w:ascii="Times New Roman" w:hAnsi="Times New Roman"/>
          <w:kern w:val="0"/>
          <w:szCs w:val="20"/>
        </w:rPr>
        <w:t>膳食风险评估残留物定义。</w:t>
      </w:r>
    </w:p>
    <w:p w14:paraId="2D5AFE86" w14:textId="77777777" w:rsidR="008F592F" w:rsidRDefault="00000000">
      <w:pPr>
        <w:pStyle w:val="a9"/>
        <w:spacing w:line="300" w:lineRule="auto"/>
        <w:ind w:firstLineChars="0"/>
        <w:rPr>
          <w:rFonts w:ascii="Times New Roman"/>
        </w:rPr>
      </w:pPr>
      <w:r>
        <w:rPr>
          <w:rFonts w:ascii="Times New Roman"/>
        </w:rPr>
        <w:t>膳食风险评估残留物</w:t>
      </w:r>
      <w:r>
        <w:rPr>
          <w:rFonts w:ascii="Times New Roman" w:hint="eastAsia"/>
        </w:rPr>
        <w:t>定义是否包括</w:t>
      </w:r>
      <w:r>
        <w:rPr>
          <w:rFonts w:ascii="Times New Roman"/>
        </w:rPr>
        <w:t>母体化合物</w:t>
      </w:r>
      <w:r>
        <w:rPr>
          <w:rFonts w:ascii="Times New Roman" w:hint="eastAsia"/>
        </w:rPr>
        <w:t>及</w:t>
      </w:r>
      <w:r>
        <w:rPr>
          <w:rFonts w:ascii="Times New Roman"/>
        </w:rPr>
        <w:t>代谢物，应按照以下程序进行</w:t>
      </w:r>
      <w:r>
        <w:rPr>
          <w:rFonts w:ascii="Times New Roman" w:hint="eastAsia"/>
        </w:rPr>
        <w:t>评估</w:t>
      </w:r>
      <w:r>
        <w:rPr>
          <w:rFonts w:ascii="Times New Roman"/>
        </w:rPr>
        <w:t>：</w:t>
      </w:r>
    </w:p>
    <w:p w14:paraId="16E31E91" w14:textId="77777777" w:rsidR="008F592F" w:rsidRDefault="00000000">
      <w:pPr>
        <w:pStyle w:val="a"/>
        <w:numPr>
          <w:ilvl w:val="0"/>
          <w:numId w:val="0"/>
        </w:numPr>
        <w:rPr>
          <w:rFonts w:ascii="Times New Roman"/>
        </w:rPr>
      </w:pPr>
      <w:r>
        <w:rPr>
          <w:rFonts w:ascii="Times New Roman" w:hint="eastAsia"/>
        </w:rPr>
        <w:t>5</w:t>
      </w:r>
      <w:r>
        <w:rPr>
          <w:rFonts w:ascii="Times New Roman"/>
        </w:rPr>
        <w:t xml:space="preserve">.1 </w:t>
      </w:r>
      <w:r>
        <w:rPr>
          <w:rFonts w:ascii="Times New Roman"/>
        </w:rPr>
        <w:t>母体化合物</w:t>
      </w:r>
    </w:p>
    <w:p w14:paraId="221869E2"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母体化合物</w:t>
      </w:r>
      <w:r>
        <w:rPr>
          <w:rFonts w:ascii="Times New Roman" w:hAnsi="Times New Roman"/>
          <w:kern w:val="0"/>
          <w:szCs w:val="20"/>
        </w:rPr>
        <w:t>原则上应纳入膳食风险评估</w:t>
      </w:r>
      <w:r>
        <w:rPr>
          <w:rFonts w:ascii="Times New Roman" w:hAnsi="Times New Roman" w:hint="eastAsia"/>
          <w:kern w:val="0"/>
          <w:szCs w:val="20"/>
        </w:rPr>
        <w:t>残留物</w:t>
      </w:r>
      <w:r>
        <w:rPr>
          <w:rFonts w:ascii="Times New Roman" w:hAnsi="Times New Roman"/>
          <w:kern w:val="0"/>
          <w:szCs w:val="20"/>
        </w:rPr>
        <w:t>定义</w:t>
      </w:r>
      <w:r>
        <w:rPr>
          <w:rFonts w:ascii="Times New Roman" w:hAnsi="Times New Roman" w:hint="eastAsia"/>
          <w:kern w:val="0"/>
          <w:szCs w:val="20"/>
        </w:rPr>
        <w:t>。</w:t>
      </w:r>
      <w:r>
        <w:rPr>
          <w:rFonts w:ascii="Times New Roman" w:hAnsi="Times New Roman"/>
          <w:kern w:val="0"/>
          <w:szCs w:val="20"/>
        </w:rPr>
        <w:t>如果在代谢试验</w:t>
      </w:r>
      <w:r>
        <w:rPr>
          <w:rFonts w:ascii="Times New Roman" w:hAnsi="Times New Roman" w:hint="eastAsia"/>
          <w:kern w:val="0"/>
          <w:szCs w:val="20"/>
        </w:rPr>
        <w:t>或</w:t>
      </w:r>
      <w:r>
        <w:rPr>
          <w:rFonts w:ascii="Times New Roman" w:hAnsi="Times New Roman"/>
          <w:kern w:val="0"/>
          <w:szCs w:val="20"/>
        </w:rPr>
        <w:t>残留试验</w:t>
      </w:r>
      <w:r>
        <w:rPr>
          <w:rFonts w:ascii="Times New Roman" w:hAnsi="Times New Roman" w:hint="eastAsia"/>
          <w:kern w:val="0"/>
          <w:szCs w:val="20"/>
        </w:rPr>
        <w:t>中，</w:t>
      </w:r>
      <w:r>
        <w:rPr>
          <w:rFonts w:ascii="Times New Roman" w:hAnsi="Times New Roman"/>
          <w:kern w:val="0"/>
          <w:szCs w:val="20"/>
        </w:rPr>
        <w:t>在可食用或可饲用</w:t>
      </w:r>
      <w:r>
        <w:rPr>
          <w:rFonts w:ascii="Times New Roman" w:hAnsi="Times New Roman" w:hint="eastAsia"/>
          <w:kern w:val="0"/>
          <w:szCs w:val="20"/>
        </w:rPr>
        <w:t>部位</w:t>
      </w:r>
      <w:r>
        <w:rPr>
          <w:rFonts w:ascii="Times New Roman" w:hAnsi="Times New Roman"/>
          <w:kern w:val="0"/>
          <w:szCs w:val="20"/>
        </w:rPr>
        <w:t>中未</w:t>
      </w:r>
      <w:r>
        <w:rPr>
          <w:rFonts w:ascii="Times New Roman" w:hAnsi="Times New Roman" w:hint="eastAsia"/>
          <w:kern w:val="0"/>
          <w:szCs w:val="20"/>
        </w:rPr>
        <w:t>检测到</w:t>
      </w:r>
      <w:r>
        <w:rPr>
          <w:rFonts w:ascii="Times New Roman" w:hAnsi="Times New Roman"/>
          <w:kern w:val="0"/>
          <w:szCs w:val="20"/>
        </w:rPr>
        <w:t>母体化合物，则母体化合物</w:t>
      </w:r>
      <w:r>
        <w:rPr>
          <w:rFonts w:ascii="Times New Roman" w:hAnsi="Times New Roman" w:hint="eastAsia"/>
          <w:kern w:val="0"/>
          <w:szCs w:val="20"/>
        </w:rPr>
        <w:t>可不纳入</w:t>
      </w:r>
      <w:r>
        <w:rPr>
          <w:rFonts w:ascii="Times New Roman" w:hAnsi="Times New Roman"/>
          <w:kern w:val="0"/>
          <w:szCs w:val="20"/>
        </w:rPr>
        <w:t>膳食风险评估</w:t>
      </w:r>
      <w:r>
        <w:rPr>
          <w:rFonts w:ascii="Times New Roman" w:hAnsi="Times New Roman" w:hint="eastAsia"/>
          <w:kern w:val="0"/>
          <w:szCs w:val="20"/>
        </w:rPr>
        <w:t>残留物定义</w:t>
      </w:r>
      <w:r>
        <w:rPr>
          <w:rFonts w:ascii="Times New Roman" w:hAnsi="Times New Roman"/>
          <w:kern w:val="0"/>
          <w:szCs w:val="20"/>
        </w:rPr>
        <w:t>。当代谢物也均未检出时，则</w:t>
      </w:r>
      <w:r>
        <w:rPr>
          <w:rFonts w:ascii="Times New Roman" w:hAnsi="Times New Roman" w:hint="eastAsia"/>
          <w:kern w:val="0"/>
          <w:szCs w:val="20"/>
        </w:rPr>
        <w:t>考虑</w:t>
      </w:r>
      <w:r>
        <w:rPr>
          <w:rFonts w:ascii="Times New Roman" w:hAnsi="Times New Roman"/>
          <w:kern w:val="0"/>
          <w:szCs w:val="20"/>
        </w:rPr>
        <w:t>将母体化合物</w:t>
      </w:r>
      <w:r>
        <w:rPr>
          <w:rFonts w:ascii="Times New Roman" w:hAnsi="Times New Roman" w:hint="eastAsia"/>
          <w:kern w:val="0"/>
          <w:szCs w:val="20"/>
        </w:rPr>
        <w:t>纳入</w:t>
      </w:r>
      <w:r>
        <w:rPr>
          <w:rFonts w:ascii="Times New Roman" w:hAnsi="Times New Roman"/>
          <w:kern w:val="0"/>
          <w:szCs w:val="20"/>
        </w:rPr>
        <w:t>膳食风险评估残留物定义。</w:t>
      </w:r>
    </w:p>
    <w:p w14:paraId="1DA2C856" w14:textId="77777777" w:rsidR="008F592F" w:rsidRDefault="00000000">
      <w:pPr>
        <w:pStyle w:val="a"/>
        <w:numPr>
          <w:ilvl w:val="0"/>
          <w:numId w:val="0"/>
        </w:numPr>
        <w:rPr>
          <w:rFonts w:ascii="Times New Roman"/>
        </w:rPr>
      </w:pPr>
      <w:r>
        <w:rPr>
          <w:rFonts w:ascii="Times New Roman" w:hint="eastAsia"/>
        </w:rPr>
        <w:t>5</w:t>
      </w:r>
      <w:r>
        <w:rPr>
          <w:rFonts w:ascii="Times New Roman"/>
        </w:rPr>
        <w:t xml:space="preserve">.2 </w:t>
      </w:r>
      <w:r>
        <w:rPr>
          <w:rFonts w:ascii="Times New Roman" w:hint="eastAsia"/>
        </w:rPr>
        <w:t>农药</w:t>
      </w:r>
      <w:r>
        <w:rPr>
          <w:rFonts w:ascii="Times New Roman"/>
        </w:rPr>
        <w:t>代谢物</w:t>
      </w:r>
    </w:p>
    <w:p w14:paraId="08EC5ECA" w14:textId="77777777" w:rsidR="008F592F" w:rsidRDefault="00000000">
      <w:pPr>
        <w:pStyle w:val="a"/>
        <w:numPr>
          <w:ilvl w:val="0"/>
          <w:numId w:val="0"/>
        </w:numPr>
        <w:rPr>
          <w:rFonts w:ascii="Times New Roman"/>
        </w:rPr>
      </w:pPr>
      <w:r>
        <w:rPr>
          <w:rFonts w:ascii="Times New Roman" w:hint="eastAsia"/>
        </w:rPr>
        <w:lastRenderedPageBreak/>
        <w:t>5</w:t>
      </w:r>
      <w:r>
        <w:rPr>
          <w:rFonts w:ascii="Times New Roman"/>
        </w:rPr>
        <w:t xml:space="preserve">.2.1 </w:t>
      </w:r>
      <w:r>
        <w:rPr>
          <w:rFonts w:ascii="Times New Roman"/>
        </w:rPr>
        <w:t>主要代谢产物</w:t>
      </w:r>
    </w:p>
    <w:p w14:paraId="6EFD3329" w14:textId="77777777" w:rsidR="008F592F" w:rsidRDefault="00000000">
      <w:pPr>
        <w:adjustRightInd w:val="0"/>
        <w:snapToGrid w:val="0"/>
        <w:spacing w:line="360" w:lineRule="auto"/>
        <w:ind w:firstLineChars="200" w:firstLine="420"/>
        <w:rPr>
          <w:rFonts w:ascii="Times New Roman" w:hAnsi="Times New Roman"/>
        </w:rPr>
      </w:pPr>
      <w:proofErr w:type="gramStart"/>
      <w:r>
        <w:rPr>
          <w:rFonts w:ascii="Times New Roman" w:hAnsi="Times New Roman"/>
        </w:rPr>
        <w:t>当符合</w:t>
      </w:r>
      <w:proofErr w:type="gramEnd"/>
      <w:r>
        <w:rPr>
          <w:rFonts w:ascii="Times New Roman" w:hAnsi="Times New Roman"/>
        </w:rPr>
        <w:t>以下条件</w:t>
      </w:r>
      <w:r>
        <w:rPr>
          <w:rFonts w:ascii="Times New Roman" w:hAnsi="Times New Roman" w:hint="eastAsia"/>
        </w:rPr>
        <w:t>之一</w:t>
      </w:r>
      <w:r>
        <w:rPr>
          <w:rFonts w:ascii="Times New Roman" w:hAnsi="Times New Roman"/>
        </w:rPr>
        <w:t>时，主要代谢物应</w:t>
      </w:r>
      <w:r>
        <w:rPr>
          <w:rFonts w:ascii="Times New Roman" w:hAnsi="Times New Roman" w:hint="eastAsia"/>
        </w:rPr>
        <w:t>考虑</w:t>
      </w:r>
      <w:r>
        <w:rPr>
          <w:rFonts w:ascii="Times New Roman" w:hAnsi="Times New Roman"/>
        </w:rPr>
        <w:t>纳入膳食风险评估残留物定义：</w:t>
      </w:r>
    </w:p>
    <w:p w14:paraId="02A0AC8D"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a</w:t>
      </w:r>
      <w:r>
        <w:rPr>
          <w:rFonts w:ascii="Times New Roman" w:hAnsi="Times New Roman"/>
          <w:kern w:val="0"/>
          <w:szCs w:val="20"/>
        </w:rPr>
        <w:t>）母体化合物急性经口毒性为中等毒</w:t>
      </w:r>
      <w:r>
        <w:rPr>
          <w:rFonts w:ascii="Times New Roman" w:hAnsi="Times New Roman" w:hint="eastAsia"/>
          <w:kern w:val="0"/>
          <w:szCs w:val="20"/>
        </w:rPr>
        <w:t>性</w:t>
      </w:r>
      <w:r>
        <w:rPr>
          <w:rFonts w:ascii="Times New Roman" w:hAnsi="Times New Roman"/>
          <w:kern w:val="0"/>
          <w:szCs w:val="20"/>
        </w:rPr>
        <w:t>及以上或具有生殖毒性、致畸性、致突变性、致癌性等特殊毒性风险。</w:t>
      </w:r>
    </w:p>
    <w:p w14:paraId="69084C0D"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b</w:t>
      </w:r>
      <w:r>
        <w:rPr>
          <w:rFonts w:ascii="Times New Roman" w:hAnsi="Times New Roman"/>
          <w:kern w:val="0"/>
          <w:szCs w:val="20"/>
        </w:rPr>
        <w:t>）主要代谢物</w:t>
      </w:r>
      <w:r>
        <w:rPr>
          <w:rFonts w:ascii="Times New Roman" w:hAnsi="Times New Roman" w:hint="eastAsia"/>
          <w:kern w:val="0"/>
          <w:szCs w:val="20"/>
        </w:rPr>
        <w:t>毒性高于母体化合物或与母体化合物毒性作用机制相似。</w:t>
      </w:r>
    </w:p>
    <w:p w14:paraId="7E5A7CB7"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c</w:t>
      </w:r>
      <w:r>
        <w:rPr>
          <w:rFonts w:ascii="Times New Roman" w:hAnsi="Times New Roman"/>
          <w:kern w:val="0"/>
          <w:szCs w:val="20"/>
        </w:rPr>
        <w:t>）在作物残留试验或畜禽饲喂试验中的可食用或可饲用</w:t>
      </w:r>
      <w:r>
        <w:rPr>
          <w:rFonts w:ascii="Times New Roman" w:hAnsi="Times New Roman" w:hint="eastAsia"/>
          <w:kern w:val="0"/>
          <w:szCs w:val="20"/>
        </w:rPr>
        <w:t>部位</w:t>
      </w:r>
      <w:r>
        <w:rPr>
          <w:rFonts w:ascii="Times New Roman" w:hAnsi="Times New Roman"/>
          <w:kern w:val="0"/>
          <w:szCs w:val="20"/>
        </w:rPr>
        <w:t>检测到显著</w:t>
      </w:r>
      <w:r>
        <w:rPr>
          <w:rFonts w:ascii="Times New Roman" w:hAnsi="Times New Roman" w:hint="eastAsia"/>
          <w:kern w:val="0"/>
          <w:szCs w:val="20"/>
        </w:rPr>
        <w:t>残留</w:t>
      </w:r>
      <w:r>
        <w:rPr>
          <w:rFonts w:ascii="Times New Roman" w:hAnsi="Times New Roman"/>
          <w:kern w:val="0"/>
          <w:szCs w:val="20"/>
        </w:rPr>
        <w:t>量。</w:t>
      </w:r>
    </w:p>
    <w:p w14:paraId="706F8232"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d</w:t>
      </w:r>
      <w:r>
        <w:rPr>
          <w:rFonts w:ascii="Times New Roman" w:hAnsi="Times New Roman"/>
          <w:kern w:val="0"/>
          <w:szCs w:val="20"/>
        </w:rPr>
        <w:t>）</w:t>
      </w:r>
      <w:r>
        <w:rPr>
          <w:rFonts w:ascii="Times New Roman" w:hAnsi="Times New Roman" w:hint="eastAsia"/>
          <w:kern w:val="0"/>
          <w:szCs w:val="20"/>
        </w:rPr>
        <w:t>代谢试验中母体化合物未检出，但代谢物含量高。</w:t>
      </w:r>
    </w:p>
    <w:p w14:paraId="00E2B2FA" w14:textId="77777777" w:rsidR="008F592F" w:rsidRDefault="00000000">
      <w:pPr>
        <w:pStyle w:val="a"/>
        <w:numPr>
          <w:ilvl w:val="0"/>
          <w:numId w:val="0"/>
        </w:numPr>
        <w:rPr>
          <w:rFonts w:ascii="Times New Roman"/>
        </w:rPr>
      </w:pPr>
      <w:bookmarkStart w:id="7" w:name="OLE_LINK13"/>
      <w:r>
        <w:rPr>
          <w:rFonts w:ascii="Times New Roman" w:hint="eastAsia"/>
        </w:rPr>
        <w:t>5</w:t>
      </w:r>
      <w:r>
        <w:rPr>
          <w:rFonts w:ascii="Times New Roman"/>
        </w:rPr>
        <w:t xml:space="preserve">.2.2 </w:t>
      </w:r>
      <w:bookmarkEnd w:id="7"/>
      <w:r>
        <w:rPr>
          <w:rFonts w:ascii="Times New Roman"/>
        </w:rPr>
        <w:t>非主要代谢物</w:t>
      </w:r>
    </w:p>
    <w:p w14:paraId="13F8C936" w14:textId="77777777" w:rsidR="008F592F" w:rsidRDefault="00000000">
      <w:pPr>
        <w:adjustRightInd w:val="0"/>
        <w:snapToGrid w:val="0"/>
        <w:spacing w:line="360" w:lineRule="auto"/>
        <w:ind w:firstLineChars="200" w:firstLine="420"/>
        <w:rPr>
          <w:rFonts w:ascii="Times New Roman" w:hAnsi="Times New Roman"/>
        </w:rPr>
      </w:pPr>
      <w:r>
        <w:rPr>
          <w:rFonts w:ascii="Times New Roman" w:hAnsi="Times New Roman"/>
        </w:rPr>
        <w:t>原则上</w:t>
      </w:r>
      <w:r>
        <w:rPr>
          <w:rFonts w:ascii="Times New Roman" w:hAnsi="Times New Roman" w:hint="eastAsia"/>
        </w:rPr>
        <w:t>，非</w:t>
      </w:r>
      <w:r>
        <w:rPr>
          <w:rFonts w:ascii="Times New Roman" w:hAnsi="Times New Roman"/>
        </w:rPr>
        <w:t>主要代谢物不纳入</w:t>
      </w:r>
      <w:r>
        <w:rPr>
          <w:rFonts w:ascii="Times New Roman" w:hAnsi="Times New Roman" w:hint="eastAsia"/>
        </w:rPr>
        <w:t>膳食风险评估</w:t>
      </w:r>
      <w:r>
        <w:rPr>
          <w:rFonts w:ascii="Times New Roman" w:hAnsi="Times New Roman"/>
        </w:rPr>
        <w:t>残留物定义</w:t>
      </w:r>
      <w:r>
        <w:rPr>
          <w:rFonts w:ascii="Times New Roman" w:hAnsi="Times New Roman" w:hint="eastAsia"/>
        </w:rPr>
        <w:t>；</w:t>
      </w:r>
      <w:r>
        <w:rPr>
          <w:rFonts w:ascii="Times New Roman" w:hAnsi="Times New Roman"/>
        </w:rPr>
        <w:t>但符合以下条件时，</w:t>
      </w:r>
      <w:r>
        <w:rPr>
          <w:rFonts w:ascii="Times New Roman" w:hAnsi="Times New Roman"/>
          <w:kern w:val="0"/>
          <w:szCs w:val="20"/>
        </w:rPr>
        <w:t>则需</w:t>
      </w:r>
      <w:r>
        <w:rPr>
          <w:rFonts w:ascii="Times New Roman" w:hAnsi="Times New Roman" w:hint="eastAsia"/>
          <w:kern w:val="0"/>
          <w:szCs w:val="20"/>
        </w:rPr>
        <w:t>考虑纳入</w:t>
      </w:r>
      <w:r>
        <w:rPr>
          <w:rFonts w:ascii="Times New Roman" w:hAnsi="Times New Roman"/>
          <w:kern w:val="0"/>
          <w:szCs w:val="20"/>
        </w:rPr>
        <w:t>：</w:t>
      </w:r>
    </w:p>
    <w:p w14:paraId="4A4BCC6C"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a</w:t>
      </w:r>
      <w:r>
        <w:rPr>
          <w:rFonts w:ascii="Times New Roman" w:hAnsi="Times New Roman"/>
          <w:kern w:val="0"/>
          <w:szCs w:val="20"/>
        </w:rPr>
        <w:t>）</w:t>
      </w:r>
      <w:r>
        <w:rPr>
          <w:rFonts w:ascii="Times New Roman" w:hAnsi="Times New Roman" w:hint="eastAsia"/>
        </w:rPr>
        <w:t>非主</w:t>
      </w:r>
      <w:r>
        <w:rPr>
          <w:rFonts w:ascii="Times New Roman" w:hAnsi="Times New Roman"/>
        </w:rPr>
        <w:t>要代谢产物</w:t>
      </w:r>
      <w:r>
        <w:rPr>
          <w:rFonts w:ascii="Times New Roman" w:hAnsi="Times New Roman"/>
          <w:kern w:val="0"/>
          <w:szCs w:val="20"/>
        </w:rPr>
        <w:t>毒性显著高于母体化合物</w:t>
      </w:r>
    </w:p>
    <w:p w14:paraId="58EE2C3A"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b</w:t>
      </w:r>
      <w:r>
        <w:rPr>
          <w:rFonts w:ascii="Times New Roman" w:hAnsi="Times New Roman"/>
          <w:kern w:val="0"/>
          <w:szCs w:val="20"/>
        </w:rPr>
        <w:t>）使用共</w:t>
      </w:r>
      <w:r>
        <w:rPr>
          <w:rFonts w:ascii="Times New Roman" w:hAnsi="Times New Roman" w:hint="eastAsia"/>
          <w:kern w:val="0"/>
          <w:szCs w:val="20"/>
        </w:rPr>
        <w:t>同</w:t>
      </w:r>
      <w:r>
        <w:rPr>
          <w:rFonts w:ascii="Times New Roman" w:hAnsi="Times New Roman"/>
          <w:kern w:val="0"/>
          <w:szCs w:val="20"/>
        </w:rPr>
        <w:t>基团的方法进行检测，涵盖了多种代谢物，包括含量</w:t>
      </w:r>
      <w:r>
        <w:rPr>
          <w:rFonts w:ascii="Times New Roman" w:hAnsi="Times New Roman" w:hint="eastAsia"/>
          <w:kern w:val="0"/>
          <w:szCs w:val="20"/>
        </w:rPr>
        <w:t>低</w:t>
      </w:r>
      <w:r>
        <w:rPr>
          <w:rFonts w:ascii="Times New Roman" w:hAnsi="Times New Roman"/>
          <w:kern w:val="0"/>
          <w:szCs w:val="20"/>
        </w:rPr>
        <w:t>的代谢物；</w:t>
      </w:r>
    </w:p>
    <w:p w14:paraId="44239F43"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c</w:t>
      </w:r>
      <w:r>
        <w:rPr>
          <w:rFonts w:ascii="Times New Roman" w:hAnsi="Times New Roman"/>
          <w:kern w:val="0"/>
          <w:szCs w:val="20"/>
        </w:rPr>
        <w:t>）</w:t>
      </w:r>
      <w:r>
        <w:rPr>
          <w:rFonts w:ascii="Times New Roman" w:hAnsi="Times New Roman"/>
        </w:rPr>
        <w:t>主要代谢物</w:t>
      </w:r>
      <w:r>
        <w:rPr>
          <w:rFonts w:ascii="Times New Roman" w:hAnsi="Times New Roman" w:hint="eastAsia"/>
        </w:rPr>
        <w:t>含量</w:t>
      </w:r>
      <w:r>
        <w:rPr>
          <w:rFonts w:ascii="Times New Roman" w:hAnsi="Times New Roman"/>
        </w:rPr>
        <w:t>很</w:t>
      </w:r>
      <w:r>
        <w:rPr>
          <w:rFonts w:ascii="Times New Roman" w:hAnsi="Times New Roman" w:hint="eastAsia"/>
        </w:rPr>
        <w:t>低</w:t>
      </w:r>
      <w:r>
        <w:rPr>
          <w:rFonts w:ascii="Times New Roman" w:hAnsi="Times New Roman"/>
        </w:rPr>
        <w:t>或未检出，</w:t>
      </w:r>
      <w:r>
        <w:rPr>
          <w:rFonts w:ascii="Times New Roman" w:hAnsi="Times New Roman"/>
          <w:kern w:val="0"/>
          <w:szCs w:val="20"/>
        </w:rPr>
        <w:t>多个</w:t>
      </w:r>
      <w:r>
        <w:rPr>
          <w:rFonts w:ascii="Times New Roman" w:hAnsi="Times New Roman" w:hint="eastAsia"/>
        </w:rPr>
        <w:t>非主</w:t>
      </w:r>
      <w:r>
        <w:rPr>
          <w:rFonts w:ascii="Times New Roman" w:hAnsi="Times New Roman"/>
        </w:rPr>
        <w:t>要代谢产物</w:t>
      </w:r>
      <w:r>
        <w:rPr>
          <w:rFonts w:ascii="Times New Roman" w:hAnsi="Times New Roman"/>
          <w:kern w:val="0"/>
          <w:szCs w:val="20"/>
        </w:rPr>
        <w:t>总和</w:t>
      </w:r>
      <w:proofErr w:type="gramStart"/>
      <w:r>
        <w:rPr>
          <w:rFonts w:ascii="Times New Roman" w:hAnsi="Times New Roman"/>
          <w:kern w:val="0"/>
          <w:szCs w:val="20"/>
        </w:rPr>
        <w:t>占比较</w:t>
      </w:r>
      <w:proofErr w:type="gramEnd"/>
      <w:r>
        <w:rPr>
          <w:rFonts w:ascii="Times New Roman" w:hAnsi="Times New Roman"/>
          <w:kern w:val="0"/>
          <w:szCs w:val="20"/>
        </w:rPr>
        <w:t>高且具有毒理学意义。</w:t>
      </w:r>
    </w:p>
    <w:p w14:paraId="25A1A04A" w14:textId="77777777" w:rsidR="008F592F" w:rsidRDefault="00000000">
      <w:pPr>
        <w:pStyle w:val="a"/>
        <w:numPr>
          <w:ilvl w:val="0"/>
          <w:numId w:val="0"/>
        </w:numPr>
        <w:rPr>
          <w:rFonts w:ascii="Times New Roman"/>
        </w:rPr>
      </w:pPr>
      <w:r>
        <w:rPr>
          <w:rFonts w:ascii="Times New Roman" w:hint="eastAsia"/>
        </w:rPr>
        <w:t>5</w:t>
      </w:r>
      <w:r>
        <w:rPr>
          <w:rFonts w:ascii="Times New Roman"/>
        </w:rPr>
        <w:t>.2.3</w:t>
      </w:r>
      <w:r>
        <w:rPr>
          <w:rFonts w:ascii="Times New Roman" w:hint="eastAsia"/>
        </w:rPr>
        <w:t xml:space="preserve"> </w:t>
      </w:r>
      <w:r>
        <w:rPr>
          <w:rFonts w:ascii="Times New Roman"/>
        </w:rPr>
        <w:t>理论代谢物</w:t>
      </w:r>
    </w:p>
    <w:p w14:paraId="448EED48" w14:textId="77777777" w:rsidR="008F592F" w:rsidRDefault="00000000">
      <w:pPr>
        <w:pStyle w:val="a9"/>
        <w:spacing w:line="300" w:lineRule="auto"/>
        <w:rPr>
          <w:rFonts w:ascii="Times New Roman"/>
        </w:rPr>
      </w:pPr>
      <w:r>
        <w:rPr>
          <w:rFonts w:ascii="Times New Roman"/>
        </w:rPr>
        <w:t>当母体化合物中存在已知的有毒结构</w:t>
      </w:r>
      <w:r>
        <w:rPr>
          <w:rFonts w:ascii="Times New Roman" w:hint="eastAsia"/>
        </w:rPr>
        <w:t>，</w:t>
      </w:r>
      <w:r>
        <w:rPr>
          <w:rFonts w:ascii="Times New Roman"/>
        </w:rPr>
        <w:t>但在代谢试验中未发现其存在有毒代谢物时</w:t>
      </w:r>
      <w:r>
        <w:rPr>
          <w:rFonts w:ascii="Times New Roman" w:hint="eastAsia"/>
        </w:rPr>
        <w:t>，应</w:t>
      </w:r>
      <w:r>
        <w:rPr>
          <w:rFonts w:ascii="Times New Roman"/>
        </w:rPr>
        <w:t>考虑理论代谢物，并进行更进一步的代谢试验，以验证理论代谢物是否存在。</w:t>
      </w:r>
    </w:p>
    <w:p w14:paraId="3A31B80D" w14:textId="77777777" w:rsidR="008F592F" w:rsidRDefault="00000000">
      <w:pPr>
        <w:pStyle w:val="a"/>
        <w:numPr>
          <w:ilvl w:val="0"/>
          <w:numId w:val="0"/>
        </w:numPr>
        <w:rPr>
          <w:rFonts w:ascii="Times New Roman"/>
        </w:rPr>
      </w:pPr>
      <w:bookmarkStart w:id="8" w:name="OLE_LINK7"/>
      <w:r>
        <w:rPr>
          <w:rFonts w:ascii="Times New Roman" w:hint="eastAsia"/>
        </w:rPr>
        <w:t>5</w:t>
      </w:r>
      <w:r>
        <w:rPr>
          <w:rFonts w:ascii="Times New Roman"/>
        </w:rPr>
        <w:t xml:space="preserve">.2.4 </w:t>
      </w:r>
      <w:bookmarkStart w:id="9" w:name="OLE_LINK9"/>
      <w:r>
        <w:rPr>
          <w:rFonts w:ascii="Times New Roman"/>
        </w:rPr>
        <w:t>主要代谢物毒性评估</w:t>
      </w:r>
      <w:bookmarkEnd w:id="9"/>
    </w:p>
    <w:bookmarkEnd w:id="8"/>
    <w:p w14:paraId="206E9CD9"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主要代谢物应根据母体化合物或其自身的毒理学试验数据，参照</w:t>
      </w:r>
      <w:r>
        <w:rPr>
          <w:rFonts w:ascii="Times New Roman" w:hAnsi="Times New Roman"/>
          <w:kern w:val="0"/>
          <w:szCs w:val="20"/>
        </w:rPr>
        <w:t>NY/T xxx</w:t>
      </w:r>
      <w:r>
        <w:rPr>
          <w:rFonts w:ascii="Times New Roman" w:hAnsi="Times New Roman"/>
          <w:kern w:val="0"/>
          <w:szCs w:val="20"/>
        </w:rPr>
        <w:t>农药主要代谢物毒理学评价程序进行评价。</w:t>
      </w:r>
    </w:p>
    <w:p w14:paraId="4E83E74E"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主要代谢物</w:t>
      </w:r>
      <w:r>
        <w:rPr>
          <w:rFonts w:ascii="Times New Roman" w:hAnsi="Times New Roman" w:hint="eastAsia"/>
          <w:kern w:val="0"/>
          <w:szCs w:val="20"/>
        </w:rPr>
        <w:t>毒性低于或与母体化合物相同时，</w:t>
      </w:r>
      <w:r>
        <w:rPr>
          <w:rFonts w:ascii="Times New Roman" w:hAnsi="Times New Roman"/>
          <w:kern w:val="0"/>
          <w:szCs w:val="20"/>
        </w:rPr>
        <w:t>且两者</w:t>
      </w:r>
      <w:r>
        <w:rPr>
          <w:rFonts w:ascii="Times New Roman" w:hAnsi="Times New Roman" w:hint="eastAsia"/>
          <w:kern w:val="0"/>
          <w:szCs w:val="20"/>
        </w:rPr>
        <w:t>毒性</w:t>
      </w:r>
      <w:r>
        <w:rPr>
          <w:rFonts w:ascii="Times New Roman" w:hAnsi="Times New Roman"/>
          <w:kern w:val="0"/>
          <w:szCs w:val="20"/>
        </w:rPr>
        <w:t>作用机制相同时，</w:t>
      </w:r>
      <w:r>
        <w:rPr>
          <w:rFonts w:ascii="Times New Roman" w:hAnsi="Times New Roman" w:hint="eastAsia"/>
          <w:kern w:val="0"/>
          <w:szCs w:val="20"/>
        </w:rPr>
        <w:t>采用母体</w:t>
      </w:r>
      <w:bookmarkStart w:id="10" w:name="OLE_LINK4"/>
      <w:r>
        <w:rPr>
          <w:rFonts w:ascii="Times New Roman" w:hAnsi="Times New Roman" w:hint="eastAsia"/>
          <w:kern w:val="0"/>
          <w:szCs w:val="20"/>
        </w:rPr>
        <w:t>化合物的</w:t>
      </w:r>
      <w:r>
        <w:rPr>
          <w:rFonts w:ascii="Times New Roman" w:hAnsi="Times New Roman" w:hint="eastAsia"/>
          <w:kern w:val="0"/>
          <w:szCs w:val="20"/>
        </w:rPr>
        <w:t>ADI/</w:t>
      </w:r>
      <w:proofErr w:type="spellStart"/>
      <w:r>
        <w:rPr>
          <w:rFonts w:ascii="Times New Roman" w:hAnsi="Times New Roman" w:hint="eastAsia"/>
          <w:kern w:val="0"/>
          <w:szCs w:val="20"/>
        </w:rPr>
        <w:t>ARfD</w:t>
      </w:r>
      <w:bookmarkEnd w:id="10"/>
      <w:proofErr w:type="spellEnd"/>
      <w:r>
        <w:rPr>
          <w:rFonts w:ascii="Times New Roman" w:hAnsi="Times New Roman"/>
          <w:kern w:val="0"/>
          <w:szCs w:val="20"/>
        </w:rPr>
        <w:t>。</w:t>
      </w:r>
    </w:p>
    <w:p w14:paraId="354D7733" w14:textId="77777777" w:rsidR="008F592F" w:rsidRDefault="00000000">
      <w:pPr>
        <w:adjustRightInd w:val="0"/>
        <w:snapToGrid w:val="0"/>
        <w:spacing w:line="360" w:lineRule="auto"/>
        <w:ind w:firstLineChars="200" w:firstLine="420"/>
        <w:rPr>
          <w:rFonts w:ascii="Times New Roman" w:hAnsi="Times New Roman"/>
          <w:kern w:val="0"/>
          <w:szCs w:val="20"/>
        </w:rPr>
      </w:pPr>
      <w:r>
        <w:rPr>
          <w:rFonts w:ascii="Times New Roman" w:hAnsi="Times New Roman"/>
          <w:kern w:val="0"/>
          <w:szCs w:val="20"/>
        </w:rPr>
        <w:t>主要代谢物</w:t>
      </w:r>
      <w:r>
        <w:rPr>
          <w:rFonts w:ascii="Times New Roman" w:hAnsi="Times New Roman" w:hint="eastAsia"/>
          <w:kern w:val="0"/>
          <w:szCs w:val="20"/>
        </w:rPr>
        <w:t>毒性高于母体化合物时，</w:t>
      </w:r>
      <w:r>
        <w:rPr>
          <w:rFonts w:ascii="Times New Roman" w:hAnsi="Times New Roman"/>
          <w:kern w:val="0"/>
          <w:szCs w:val="20"/>
        </w:rPr>
        <w:t>或两者</w:t>
      </w:r>
      <w:r>
        <w:rPr>
          <w:rFonts w:ascii="Times New Roman" w:hAnsi="Times New Roman" w:hint="eastAsia"/>
          <w:kern w:val="0"/>
          <w:szCs w:val="20"/>
        </w:rPr>
        <w:t>毒性</w:t>
      </w:r>
      <w:r>
        <w:rPr>
          <w:rFonts w:ascii="Times New Roman" w:hAnsi="Times New Roman"/>
          <w:kern w:val="0"/>
          <w:szCs w:val="20"/>
        </w:rPr>
        <w:t>作用机制不同时，</w:t>
      </w:r>
      <w:r>
        <w:rPr>
          <w:rFonts w:ascii="Times New Roman" w:hAnsi="Times New Roman" w:hint="eastAsia"/>
          <w:kern w:val="0"/>
          <w:szCs w:val="20"/>
        </w:rPr>
        <w:t>需制定单独的</w:t>
      </w:r>
      <w:r>
        <w:rPr>
          <w:rFonts w:ascii="Times New Roman" w:hAnsi="Times New Roman" w:hint="eastAsia"/>
          <w:kern w:val="0"/>
          <w:szCs w:val="20"/>
        </w:rPr>
        <w:t>ADI/</w:t>
      </w:r>
      <w:proofErr w:type="spellStart"/>
      <w:r>
        <w:rPr>
          <w:rFonts w:ascii="Times New Roman" w:hAnsi="Times New Roman" w:hint="eastAsia"/>
          <w:kern w:val="0"/>
          <w:szCs w:val="20"/>
        </w:rPr>
        <w:t>ARfD</w:t>
      </w:r>
      <w:proofErr w:type="spellEnd"/>
      <w:r>
        <w:rPr>
          <w:rFonts w:ascii="Times New Roman" w:hAnsi="Times New Roman"/>
          <w:kern w:val="0"/>
          <w:szCs w:val="20"/>
        </w:rPr>
        <w:t>。</w:t>
      </w:r>
    </w:p>
    <w:p w14:paraId="77E2AD86" w14:textId="77777777" w:rsidR="008F592F" w:rsidRDefault="00000000">
      <w:pPr>
        <w:pStyle w:val="a"/>
        <w:numPr>
          <w:ilvl w:val="0"/>
          <w:numId w:val="0"/>
        </w:numPr>
        <w:rPr>
          <w:rFonts w:ascii="Times New Roman"/>
        </w:rPr>
      </w:pPr>
      <w:r>
        <w:rPr>
          <w:rFonts w:ascii="Times New Roman" w:hint="eastAsia"/>
        </w:rPr>
        <w:t>6</w:t>
      </w:r>
      <w:r>
        <w:rPr>
          <w:rFonts w:ascii="Times New Roman"/>
        </w:rPr>
        <w:t xml:space="preserve"> </w:t>
      </w:r>
      <w:r>
        <w:rPr>
          <w:rFonts w:ascii="Times New Roman"/>
        </w:rPr>
        <w:t>监测残留物</w:t>
      </w:r>
      <w:r>
        <w:rPr>
          <w:rFonts w:ascii="Times New Roman" w:hint="eastAsia"/>
        </w:rPr>
        <w:t>定义</w:t>
      </w:r>
    </w:p>
    <w:p w14:paraId="4E27F141" w14:textId="77777777" w:rsidR="008F592F" w:rsidRDefault="00000000">
      <w:pPr>
        <w:adjustRightInd w:val="0"/>
        <w:snapToGrid w:val="0"/>
        <w:spacing w:line="360" w:lineRule="auto"/>
        <w:ind w:firstLineChars="200" w:firstLine="420"/>
        <w:rPr>
          <w:rFonts w:ascii="Times New Roman"/>
        </w:rPr>
      </w:pPr>
      <w:r>
        <w:rPr>
          <w:rFonts w:ascii="Times New Roman"/>
        </w:rPr>
        <w:t>监测残留物定义尽可能</w:t>
      </w:r>
      <w:r>
        <w:rPr>
          <w:rFonts w:ascii="Times New Roman" w:hint="eastAsia"/>
        </w:rPr>
        <w:t>基于单个化合物</w:t>
      </w:r>
      <w:r>
        <w:rPr>
          <w:rFonts w:ascii="Times New Roman"/>
        </w:rPr>
        <w:t>，以便于采用多残留分析方法进行</w:t>
      </w:r>
      <w:r>
        <w:rPr>
          <w:rFonts w:ascii="Times New Roman" w:hint="eastAsia"/>
        </w:rPr>
        <w:t>检测</w:t>
      </w:r>
      <w:r>
        <w:rPr>
          <w:rFonts w:ascii="Times New Roman"/>
        </w:rPr>
        <w:t>。该</w:t>
      </w:r>
      <w:r>
        <w:rPr>
          <w:rFonts w:ascii="Times New Roman" w:hint="eastAsia"/>
        </w:rPr>
        <w:t>化合物</w:t>
      </w:r>
      <w:r>
        <w:rPr>
          <w:rFonts w:ascii="Times New Roman"/>
        </w:rPr>
        <w:t>可以是母体化合物</w:t>
      </w:r>
      <w:r>
        <w:rPr>
          <w:rFonts w:ascii="Times New Roman" w:hint="eastAsia"/>
        </w:rPr>
        <w:t>、</w:t>
      </w:r>
      <w:r>
        <w:rPr>
          <w:rFonts w:ascii="Times New Roman"/>
        </w:rPr>
        <w:t>代谢物，</w:t>
      </w:r>
      <w:r>
        <w:rPr>
          <w:rFonts w:ascii="Times New Roman" w:hint="eastAsia"/>
        </w:rPr>
        <w:t>也</w:t>
      </w:r>
      <w:r>
        <w:rPr>
          <w:rFonts w:ascii="Times New Roman"/>
        </w:rPr>
        <w:t>可是分析过程中产生的衍生物</w:t>
      </w:r>
      <w:r>
        <w:rPr>
          <w:rFonts w:ascii="Times New Roman" w:hint="eastAsia"/>
        </w:rPr>
        <w:t>；</w:t>
      </w:r>
      <w:r>
        <w:rPr>
          <w:rFonts w:ascii="Times New Roman"/>
        </w:rPr>
        <w:t>应遵循</w:t>
      </w:r>
      <w:r>
        <w:rPr>
          <w:rFonts w:ascii="Times New Roman" w:hint="eastAsia"/>
        </w:rPr>
        <w:t>“简单</w:t>
      </w:r>
      <w:r>
        <w:rPr>
          <w:rFonts w:ascii="Times New Roman"/>
        </w:rPr>
        <w:t>易测、特异性强</w:t>
      </w:r>
      <w:r>
        <w:rPr>
          <w:rFonts w:ascii="Times New Roman" w:hint="eastAsia"/>
        </w:rPr>
        <w:t>”</w:t>
      </w:r>
      <w:r>
        <w:rPr>
          <w:rFonts w:ascii="Times New Roman"/>
        </w:rPr>
        <w:t>的原则</w:t>
      </w:r>
      <w:r>
        <w:rPr>
          <w:rFonts w:ascii="Times New Roman" w:hint="eastAsia"/>
        </w:rPr>
        <w:t>；</w:t>
      </w:r>
      <w:r>
        <w:rPr>
          <w:rFonts w:ascii="Times New Roman"/>
        </w:rPr>
        <w:t>其核心是满足农药残留监管的需求。</w:t>
      </w:r>
    </w:p>
    <w:p w14:paraId="6D5F22F4" w14:textId="77777777" w:rsidR="008F592F" w:rsidRDefault="00000000">
      <w:pPr>
        <w:adjustRightInd w:val="0"/>
        <w:snapToGrid w:val="0"/>
        <w:spacing w:line="360" w:lineRule="auto"/>
        <w:ind w:firstLineChars="200" w:firstLine="420"/>
        <w:rPr>
          <w:rFonts w:ascii="Times New Roman"/>
        </w:rPr>
      </w:pPr>
      <w:r>
        <w:rPr>
          <w:rFonts w:ascii="Times New Roman"/>
        </w:rPr>
        <w:lastRenderedPageBreak/>
        <w:t>监测残留物定义是否包括母体化合物及代谢物，应按照以下程序进行判断：</w:t>
      </w:r>
    </w:p>
    <w:p w14:paraId="75CCCA65" w14:textId="77777777" w:rsidR="008F592F" w:rsidRDefault="00000000">
      <w:pPr>
        <w:pStyle w:val="a"/>
        <w:numPr>
          <w:ilvl w:val="0"/>
          <w:numId w:val="0"/>
        </w:numPr>
        <w:rPr>
          <w:rFonts w:ascii="Times New Roman"/>
        </w:rPr>
      </w:pPr>
      <w:r>
        <w:rPr>
          <w:rFonts w:ascii="Times New Roman" w:hint="eastAsia"/>
        </w:rPr>
        <w:t>6</w:t>
      </w:r>
      <w:r>
        <w:rPr>
          <w:rFonts w:ascii="Times New Roman"/>
        </w:rPr>
        <w:t xml:space="preserve">.1 </w:t>
      </w:r>
      <w:r>
        <w:rPr>
          <w:rFonts w:ascii="Times New Roman"/>
        </w:rPr>
        <w:t>母体化合物</w:t>
      </w:r>
    </w:p>
    <w:p w14:paraId="4C7D8A4A" w14:textId="77777777" w:rsidR="008F592F" w:rsidRDefault="00000000">
      <w:pPr>
        <w:adjustRightInd w:val="0"/>
        <w:snapToGrid w:val="0"/>
        <w:spacing w:line="360" w:lineRule="auto"/>
        <w:ind w:firstLineChars="200" w:firstLine="420"/>
        <w:rPr>
          <w:rFonts w:ascii="Times New Roman"/>
        </w:rPr>
      </w:pPr>
      <w:r>
        <w:rPr>
          <w:rFonts w:ascii="Times New Roman"/>
        </w:rPr>
        <w:t>监测残留物定义原则上优先考虑母体化合物</w:t>
      </w:r>
      <w:r>
        <w:rPr>
          <w:rFonts w:ascii="Times New Roman" w:hint="eastAsia"/>
        </w:rPr>
        <w:t>。仅</w:t>
      </w:r>
      <w:r>
        <w:rPr>
          <w:rFonts w:ascii="Times New Roman"/>
        </w:rPr>
        <w:t>当代谢试验和残留试验中均未检测到母体化合物，则</w:t>
      </w:r>
      <w:r>
        <w:rPr>
          <w:rFonts w:ascii="Times New Roman" w:hint="eastAsia"/>
        </w:rPr>
        <w:t>母体化合物可</w:t>
      </w:r>
      <w:r>
        <w:rPr>
          <w:rFonts w:ascii="Times New Roman"/>
        </w:rPr>
        <w:t>不纳入</w:t>
      </w:r>
      <w:r>
        <w:rPr>
          <w:rFonts w:ascii="Times New Roman" w:hint="eastAsia"/>
        </w:rPr>
        <w:t>监测</w:t>
      </w:r>
      <w:r>
        <w:rPr>
          <w:rFonts w:ascii="Times New Roman"/>
        </w:rPr>
        <w:t>残留物定义</w:t>
      </w:r>
      <w:r>
        <w:rPr>
          <w:rFonts w:ascii="Times New Roman" w:hint="eastAsia"/>
        </w:rPr>
        <w:t>。</w:t>
      </w:r>
      <w:r>
        <w:rPr>
          <w:rFonts w:ascii="Times New Roman"/>
        </w:rPr>
        <w:t>但当代谢物也均未检出时，则</w:t>
      </w:r>
      <w:r>
        <w:rPr>
          <w:rFonts w:ascii="Times New Roman" w:hint="eastAsia"/>
        </w:rPr>
        <w:t>考虑</w:t>
      </w:r>
      <w:r>
        <w:rPr>
          <w:rFonts w:ascii="Times New Roman"/>
        </w:rPr>
        <w:t>将母体化合物</w:t>
      </w:r>
      <w:r>
        <w:rPr>
          <w:rFonts w:ascii="Times New Roman" w:hint="eastAsia"/>
        </w:rPr>
        <w:t>纳入</w:t>
      </w:r>
      <w:r>
        <w:rPr>
          <w:rFonts w:ascii="Times New Roman"/>
        </w:rPr>
        <w:t>监测残留物定义。</w:t>
      </w:r>
    </w:p>
    <w:p w14:paraId="072F0DA1" w14:textId="77777777" w:rsidR="008F592F" w:rsidRDefault="00000000">
      <w:pPr>
        <w:pStyle w:val="a"/>
        <w:numPr>
          <w:ilvl w:val="0"/>
          <w:numId w:val="0"/>
        </w:numPr>
        <w:rPr>
          <w:rFonts w:ascii="Times New Roman"/>
        </w:rPr>
      </w:pPr>
      <w:r>
        <w:rPr>
          <w:rFonts w:ascii="Times New Roman" w:hint="eastAsia"/>
        </w:rPr>
        <w:t>6</w:t>
      </w:r>
      <w:r>
        <w:rPr>
          <w:rFonts w:ascii="Times New Roman"/>
        </w:rPr>
        <w:t xml:space="preserve">.2 </w:t>
      </w:r>
      <w:r>
        <w:rPr>
          <w:rFonts w:ascii="Times New Roman" w:hint="eastAsia"/>
        </w:rPr>
        <w:t>主要</w:t>
      </w:r>
      <w:r>
        <w:rPr>
          <w:rFonts w:ascii="Times New Roman"/>
        </w:rPr>
        <w:t>代谢物</w:t>
      </w:r>
    </w:p>
    <w:p w14:paraId="332A9DAD" w14:textId="77777777" w:rsidR="008F592F" w:rsidRDefault="00000000">
      <w:pPr>
        <w:adjustRightInd w:val="0"/>
        <w:snapToGrid w:val="0"/>
        <w:spacing w:line="360" w:lineRule="auto"/>
        <w:ind w:firstLineChars="200" w:firstLine="420"/>
        <w:rPr>
          <w:rFonts w:ascii="Times New Roman" w:hAnsi="Times New Roman"/>
          <w:kern w:val="0"/>
          <w:szCs w:val="20"/>
        </w:rPr>
      </w:pPr>
      <w:proofErr w:type="gramStart"/>
      <w:r>
        <w:rPr>
          <w:rFonts w:ascii="Times New Roman"/>
        </w:rPr>
        <w:t>当符合</w:t>
      </w:r>
      <w:proofErr w:type="gramEnd"/>
      <w:r>
        <w:rPr>
          <w:rFonts w:ascii="Times New Roman"/>
        </w:rPr>
        <w:t>以下条件</w:t>
      </w:r>
      <w:r>
        <w:rPr>
          <w:rFonts w:ascii="Times New Roman" w:hint="eastAsia"/>
        </w:rPr>
        <w:t>之一时，</w:t>
      </w:r>
      <w:bookmarkStart w:id="11" w:name="OLE_LINK2"/>
      <w:r>
        <w:rPr>
          <w:rFonts w:ascii="Times New Roman" w:hint="eastAsia"/>
        </w:rPr>
        <w:t>主要代谢物</w:t>
      </w:r>
      <w:bookmarkEnd w:id="11"/>
      <w:r>
        <w:rPr>
          <w:rFonts w:ascii="Times New Roman" w:hint="eastAsia"/>
        </w:rPr>
        <w:t>应</w:t>
      </w:r>
      <w:r>
        <w:rPr>
          <w:rFonts w:ascii="Times New Roman" w:hAnsi="Times New Roman" w:hint="eastAsia"/>
          <w:kern w:val="0"/>
          <w:szCs w:val="20"/>
        </w:rPr>
        <w:t>考虑</w:t>
      </w:r>
      <w:r>
        <w:rPr>
          <w:rFonts w:ascii="Times New Roman" w:hAnsi="Times New Roman"/>
          <w:kern w:val="0"/>
          <w:szCs w:val="20"/>
        </w:rPr>
        <w:t>纳入监测残留物定义</w:t>
      </w:r>
      <w:r>
        <w:rPr>
          <w:rFonts w:ascii="Times New Roman" w:hAnsi="Times New Roman" w:hint="eastAsia"/>
          <w:kern w:val="0"/>
          <w:szCs w:val="20"/>
        </w:rPr>
        <w:t>。</w:t>
      </w:r>
      <w:r>
        <w:rPr>
          <w:rFonts w:ascii="Times New Roman" w:hint="eastAsia"/>
        </w:rPr>
        <w:t>可用</w:t>
      </w:r>
      <w:r>
        <w:rPr>
          <w:rFonts w:ascii="Times New Roman"/>
        </w:rPr>
        <w:t>多残留分析方法</w:t>
      </w:r>
      <w:r>
        <w:rPr>
          <w:rFonts w:ascii="Times New Roman" w:hint="eastAsia"/>
        </w:rPr>
        <w:t>测定的主要代谢物可优先考虑。</w:t>
      </w:r>
    </w:p>
    <w:p w14:paraId="04EFB491" w14:textId="77777777" w:rsidR="008F592F" w:rsidRDefault="00000000">
      <w:pPr>
        <w:pStyle w:val="a9"/>
        <w:spacing w:line="300" w:lineRule="auto"/>
        <w:rPr>
          <w:rFonts w:ascii="Times New Roman"/>
        </w:rPr>
      </w:pPr>
      <w:r>
        <w:rPr>
          <w:rFonts w:ascii="Times New Roman" w:hint="eastAsia"/>
        </w:rPr>
        <w:t xml:space="preserve">a) </w:t>
      </w:r>
      <w:r>
        <w:rPr>
          <w:rFonts w:ascii="Times New Roman"/>
        </w:rPr>
        <w:t>母体化合物</w:t>
      </w:r>
      <w:r>
        <w:rPr>
          <w:rFonts w:ascii="Times New Roman" w:hint="eastAsia"/>
        </w:rPr>
        <w:t>高毒性且代谢物毒性高于母体化合物或与母体化合物毒性作用机制相似</w:t>
      </w:r>
      <w:r>
        <w:rPr>
          <w:rFonts w:ascii="Times New Roman"/>
        </w:rPr>
        <w:t>。</w:t>
      </w:r>
    </w:p>
    <w:p w14:paraId="7AEED36C" w14:textId="77777777" w:rsidR="008F592F" w:rsidRDefault="00000000">
      <w:pPr>
        <w:pStyle w:val="a9"/>
        <w:spacing w:line="300" w:lineRule="auto"/>
        <w:rPr>
          <w:rFonts w:ascii="Times New Roman"/>
        </w:rPr>
      </w:pPr>
      <w:r>
        <w:rPr>
          <w:rFonts w:ascii="Times New Roman" w:hint="eastAsia"/>
        </w:rPr>
        <w:t xml:space="preserve">b) </w:t>
      </w:r>
      <w:r>
        <w:rPr>
          <w:rFonts w:ascii="Times New Roman" w:hint="eastAsia"/>
        </w:rPr>
        <w:t>可食用或可饲用部位中的代谢物浓度远远高于母体化合物。</w:t>
      </w:r>
      <w:r>
        <w:rPr>
          <w:rFonts w:ascii="Times New Roman" w:hint="eastAsia"/>
        </w:rPr>
        <w:t xml:space="preserve"> </w:t>
      </w:r>
    </w:p>
    <w:p w14:paraId="3731D1A4" w14:textId="77777777" w:rsidR="008F592F" w:rsidRDefault="00000000">
      <w:pPr>
        <w:pStyle w:val="a9"/>
        <w:spacing w:line="300" w:lineRule="auto"/>
        <w:rPr>
          <w:rFonts w:ascii="Times New Roman"/>
        </w:rPr>
      </w:pPr>
      <w:r>
        <w:rPr>
          <w:rFonts w:ascii="Times New Roman" w:hint="eastAsia"/>
        </w:rPr>
        <w:t xml:space="preserve">c) </w:t>
      </w:r>
      <w:r>
        <w:rPr>
          <w:rFonts w:ascii="Times New Roman" w:hint="eastAsia"/>
        </w:rPr>
        <w:t>母体化合物未检出，</w:t>
      </w:r>
      <w:r>
        <w:rPr>
          <w:rFonts w:ascii="Times New Roman"/>
        </w:rPr>
        <w:t>代谢物残留水平适合作监测农药使用是否规范的</w:t>
      </w:r>
      <w:r>
        <w:rPr>
          <w:rFonts w:ascii="Times New Roman" w:hint="eastAsia"/>
        </w:rPr>
        <w:t>判断</w:t>
      </w:r>
      <w:r>
        <w:rPr>
          <w:rFonts w:ascii="Times New Roman"/>
        </w:rPr>
        <w:t>指</w:t>
      </w:r>
      <w:r>
        <w:rPr>
          <w:rFonts w:ascii="Times New Roman" w:hint="eastAsia"/>
        </w:rPr>
        <w:t>标</w:t>
      </w:r>
      <w:r>
        <w:rPr>
          <w:rFonts w:ascii="Times New Roman"/>
        </w:rPr>
        <w:t>。</w:t>
      </w:r>
      <w:r>
        <w:rPr>
          <w:rFonts w:ascii="Times New Roman"/>
          <w:noProof/>
        </w:rPr>
        <mc:AlternateContent>
          <mc:Choice Requires="wps">
            <w:drawing>
              <wp:anchor distT="0" distB="0" distL="114300" distR="114300" simplePos="0" relativeHeight="251662336" behindDoc="0" locked="0" layoutInCell="1" allowOverlap="1" wp14:anchorId="2D29D80D" wp14:editId="39523234">
                <wp:simplePos x="0" y="0"/>
                <wp:positionH relativeFrom="column">
                  <wp:posOffset>1080135</wp:posOffset>
                </wp:positionH>
                <wp:positionV relativeFrom="paragraph">
                  <wp:posOffset>773430</wp:posOffset>
                </wp:positionV>
                <wp:extent cx="3144520" cy="12065"/>
                <wp:effectExtent l="0" t="0" r="36830" b="26670"/>
                <wp:wrapNone/>
                <wp:docPr id="332547362" name="直接连接符 7"/>
                <wp:cNvGraphicFramePr/>
                <a:graphic xmlns:a="http://schemas.openxmlformats.org/drawingml/2006/main">
                  <a:graphicData uri="http://schemas.microsoft.com/office/word/2010/wordprocessingShape">
                    <wps:wsp>
                      <wps:cNvCnPr/>
                      <wps:spPr>
                        <a:xfrm flipV="1">
                          <a:off x="0" y="0"/>
                          <a:ext cx="3144520"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7" o:spid="_x0000_s1026" o:spt="20" style="position:absolute;left:0pt;flip:y;margin-left:85.05pt;margin-top:60.9pt;height:0.95pt;width:247.6pt;z-index:251662336;mso-width-relative:page;mso-height-relative:page;" filled="f" stroked="t" coordsize="21600,21600" o:gfxdata="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b2ROtgAAAALAQAADwAAAAAAAAABACAAAAAiAAAAZHJzL2Rvd25yZXYueG1sUEsB&#10;AhQAFAAAAAgAh07iQCP+SZD1AQAAxwMAAA4AAAAAAAAAAQAgAAAAJwEAAGRycy9lMm9Eb2MueG1s&#10;UEsFBgAAAAAGAAYAWQEAAI4FAAAAAA==&#10;">
                <v:fill on="f" focussize="0,0"/>
                <v:stroke weight="0.5pt" color="#000000 [3200]" miterlimit="8" joinstyle="miter"/>
                <v:imagedata o:title=""/>
                <o:lock v:ext="edit" aspectratio="f"/>
              </v:line>
            </w:pict>
          </mc:Fallback>
        </mc:AlternateContent>
      </w:r>
    </w:p>
    <w:sectPr w:rsidR="008F592F">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77EB" w14:textId="77777777" w:rsidR="005B0341" w:rsidRDefault="005B0341">
      <w:r>
        <w:separator/>
      </w:r>
    </w:p>
  </w:endnote>
  <w:endnote w:type="continuationSeparator" w:id="0">
    <w:p w14:paraId="10E53CC2" w14:textId="77777777" w:rsidR="005B0341" w:rsidRDefault="005B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C8DB" w14:textId="77777777" w:rsidR="008F592F" w:rsidRDefault="00000000">
    <w:pPr>
      <w:pStyle w:val="a4"/>
      <w:jc w:val="center"/>
    </w:pPr>
    <w:r>
      <w:rPr>
        <w:noProof/>
      </w:rPr>
      <mc:AlternateContent>
        <mc:Choice Requires="wps">
          <w:drawing>
            <wp:anchor distT="0" distB="0" distL="114300" distR="114300" simplePos="0" relativeHeight="251659264" behindDoc="0" locked="0" layoutInCell="1" allowOverlap="1" wp14:anchorId="44C39910" wp14:editId="1ED3D1A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55F34" w14:textId="77777777" w:rsidR="008F592F" w:rsidRDefault="00000000">
                          <w:pPr>
                            <w:pStyle w:val="a4"/>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C39910"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6E55F34" w14:textId="77777777" w:rsidR="008F592F" w:rsidRDefault="00000000">
                    <w:pPr>
                      <w:pStyle w:val="a4"/>
                    </w:pPr>
                    <w:r>
                      <w:fldChar w:fldCharType="begin"/>
                    </w:r>
                    <w:r>
                      <w:instrText xml:space="preserve"> PAGE  \* MERGEFORMAT </w:instrText>
                    </w:r>
                    <w:r>
                      <w:fldChar w:fldCharType="separate"/>
                    </w:r>
                    <w:r>
                      <w:t>- 5 -</w:t>
                    </w:r>
                    <w:r>
                      <w:fldChar w:fldCharType="end"/>
                    </w:r>
                  </w:p>
                </w:txbxContent>
              </v:textbox>
              <w10:wrap anchorx="margin"/>
            </v:shape>
          </w:pict>
        </mc:Fallback>
      </mc:AlternateContent>
    </w:r>
  </w:p>
  <w:p w14:paraId="22802518" w14:textId="77777777" w:rsidR="008F592F" w:rsidRDefault="008F59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B588" w14:textId="77777777" w:rsidR="008F592F" w:rsidRDefault="00000000">
    <w:pPr>
      <w:pStyle w:val="a4"/>
    </w:pPr>
    <w:r>
      <w:rPr>
        <w:noProof/>
      </w:rPr>
      <mc:AlternateContent>
        <mc:Choice Requires="wps">
          <w:drawing>
            <wp:anchor distT="0" distB="0" distL="114300" distR="114300" simplePos="0" relativeHeight="251660288" behindDoc="0" locked="0" layoutInCell="1" allowOverlap="1" wp14:anchorId="3F1EE183" wp14:editId="1EBE435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D232F" w14:textId="77777777" w:rsidR="008F592F" w:rsidRDefault="00000000">
                          <w:pPr>
                            <w:pStyle w:val="a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1EE183"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7FD232F" w14:textId="77777777" w:rsidR="008F592F" w:rsidRDefault="00000000">
                    <w:pPr>
                      <w:pStyle w:val="a4"/>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84EF" w14:textId="77777777" w:rsidR="008F592F" w:rsidRDefault="00000000">
    <w:pPr>
      <w:pStyle w:val="a4"/>
      <w:jc w:val="center"/>
    </w:pPr>
    <w:r>
      <w:rPr>
        <w:noProof/>
      </w:rPr>
      <mc:AlternateContent>
        <mc:Choice Requires="wps">
          <w:drawing>
            <wp:anchor distT="0" distB="0" distL="114300" distR="114300" simplePos="0" relativeHeight="251661312" behindDoc="0" locked="0" layoutInCell="1" allowOverlap="1" wp14:anchorId="042B52C1" wp14:editId="0D12754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5CFCC" w14:textId="77777777" w:rsidR="008F592F" w:rsidRDefault="00000000">
                          <w:pPr>
                            <w:pStyle w:val="a4"/>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2B52C1"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315CFCC" w14:textId="77777777" w:rsidR="008F592F" w:rsidRDefault="00000000">
                    <w:pPr>
                      <w:pStyle w:val="a4"/>
                    </w:pPr>
                    <w:r>
                      <w:fldChar w:fldCharType="begin"/>
                    </w:r>
                    <w:r>
                      <w:instrText xml:space="preserve"> PAGE  \* MERGEFORMAT </w:instrText>
                    </w:r>
                    <w:r>
                      <w:fldChar w:fldCharType="separate"/>
                    </w:r>
                    <w:r>
                      <w:t>- 5 -</w:t>
                    </w:r>
                    <w:r>
                      <w:fldChar w:fldCharType="end"/>
                    </w:r>
                  </w:p>
                </w:txbxContent>
              </v:textbox>
              <w10:wrap anchorx="margin"/>
            </v:shape>
          </w:pict>
        </mc:Fallback>
      </mc:AlternateContent>
    </w:r>
  </w:p>
  <w:p w14:paraId="59DE8E41" w14:textId="77777777" w:rsidR="008F592F" w:rsidRDefault="008F592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FFAC" w14:textId="77777777" w:rsidR="008F592F" w:rsidRDefault="00000000">
    <w:pPr>
      <w:pStyle w:val="ad"/>
    </w:pPr>
    <w:r>
      <w:rPr>
        <w:noProof/>
      </w:rPr>
      <mc:AlternateContent>
        <mc:Choice Requires="wps">
          <w:drawing>
            <wp:anchor distT="0" distB="0" distL="114300" distR="114300" simplePos="0" relativeHeight="251662336" behindDoc="0" locked="0" layoutInCell="1" allowOverlap="1" wp14:anchorId="182A035B" wp14:editId="1ECF766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B2592" w14:textId="77777777" w:rsidR="008F592F" w:rsidRDefault="00000000">
                          <w:pPr>
                            <w:pStyle w:val="a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2A035B"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27B2592" w14:textId="77777777" w:rsidR="008F592F" w:rsidRDefault="00000000">
                    <w:pPr>
                      <w:pStyle w:val="a4"/>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CD70" w14:textId="77777777" w:rsidR="005B0341" w:rsidRDefault="005B0341">
      <w:r>
        <w:separator/>
      </w:r>
    </w:p>
  </w:footnote>
  <w:footnote w:type="continuationSeparator" w:id="0">
    <w:p w14:paraId="1DFD5B46" w14:textId="77777777" w:rsidR="005B0341" w:rsidRDefault="005B0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0C4C" w14:textId="77777777" w:rsidR="008F592F" w:rsidRDefault="00000000">
    <w:pPr>
      <w:pStyle w:val="ac"/>
      <w:spacing w:after="0"/>
    </w:pPr>
    <w:r>
      <w:rPr>
        <w:rFonts w:hint="eastAsia"/>
      </w:rPr>
      <w:t>NY/T XXXX</w:t>
    </w:r>
    <w:r>
      <w:t>—</w:t>
    </w:r>
    <w:r>
      <w:t>20</w:t>
    </w:r>
    <w:r>
      <w:rPr>
        <w:rFonts w:hint="eastAsia"/>
      </w:rPr>
      <w:t>2</w:t>
    </w:r>
    <w: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36082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VkNDIzM2E1ODU2N2E3NjNiNzJhNDQxMDIzNDQ2Y2QifQ=="/>
  </w:docVars>
  <w:rsids>
    <w:rsidRoot w:val="263A55D7"/>
    <w:rsid w:val="000001A1"/>
    <w:rsid w:val="00002549"/>
    <w:rsid w:val="0001381D"/>
    <w:rsid w:val="000173E5"/>
    <w:rsid w:val="0002093B"/>
    <w:rsid w:val="00032A2C"/>
    <w:rsid w:val="00033BE0"/>
    <w:rsid w:val="00034BA1"/>
    <w:rsid w:val="00034DDE"/>
    <w:rsid w:val="00043CDB"/>
    <w:rsid w:val="00050448"/>
    <w:rsid w:val="00056296"/>
    <w:rsid w:val="0006299A"/>
    <w:rsid w:val="00063FB4"/>
    <w:rsid w:val="00065778"/>
    <w:rsid w:val="000674C9"/>
    <w:rsid w:val="00076B5D"/>
    <w:rsid w:val="000827DE"/>
    <w:rsid w:val="00083858"/>
    <w:rsid w:val="0008683A"/>
    <w:rsid w:val="00087363"/>
    <w:rsid w:val="000A7D08"/>
    <w:rsid w:val="000C4A7E"/>
    <w:rsid w:val="000D0F0C"/>
    <w:rsid w:val="000D2EE8"/>
    <w:rsid w:val="000D5BC6"/>
    <w:rsid w:val="000E2857"/>
    <w:rsid w:val="000F3B6E"/>
    <w:rsid w:val="00112529"/>
    <w:rsid w:val="001204C9"/>
    <w:rsid w:val="00130258"/>
    <w:rsid w:val="00146687"/>
    <w:rsid w:val="00153251"/>
    <w:rsid w:val="00160728"/>
    <w:rsid w:val="001610DC"/>
    <w:rsid w:val="001622B3"/>
    <w:rsid w:val="00163F9A"/>
    <w:rsid w:val="0017160B"/>
    <w:rsid w:val="00175226"/>
    <w:rsid w:val="001767BE"/>
    <w:rsid w:val="0017797C"/>
    <w:rsid w:val="001879FD"/>
    <w:rsid w:val="00193F36"/>
    <w:rsid w:val="00194740"/>
    <w:rsid w:val="001A04B5"/>
    <w:rsid w:val="001A1D0D"/>
    <w:rsid w:val="001A2912"/>
    <w:rsid w:val="001A72BA"/>
    <w:rsid w:val="001B0C39"/>
    <w:rsid w:val="001B157A"/>
    <w:rsid w:val="001B45F2"/>
    <w:rsid w:val="001B6A71"/>
    <w:rsid w:val="001E2340"/>
    <w:rsid w:val="001E3957"/>
    <w:rsid w:val="001E3C1A"/>
    <w:rsid w:val="001E5FC5"/>
    <w:rsid w:val="001F64E9"/>
    <w:rsid w:val="00203B22"/>
    <w:rsid w:val="00205840"/>
    <w:rsid w:val="00226C04"/>
    <w:rsid w:val="002270CD"/>
    <w:rsid w:val="00232FCB"/>
    <w:rsid w:val="002335C3"/>
    <w:rsid w:val="002353F9"/>
    <w:rsid w:val="00240162"/>
    <w:rsid w:val="00240E9A"/>
    <w:rsid w:val="002412BA"/>
    <w:rsid w:val="002416E4"/>
    <w:rsid w:val="0024195F"/>
    <w:rsid w:val="00276268"/>
    <w:rsid w:val="00277B3B"/>
    <w:rsid w:val="0028066B"/>
    <w:rsid w:val="002908DB"/>
    <w:rsid w:val="00292CA0"/>
    <w:rsid w:val="002A060C"/>
    <w:rsid w:val="002C082E"/>
    <w:rsid w:val="002C1C68"/>
    <w:rsid w:val="002C79F0"/>
    <w:rsid w:val="002D23EC"/>
    <w:rsid w:val="002D41BC"/>
    <w:rsid w:val="002E556B"/>
    <w:rsid w:val="002F3BA4"/>
    <w:rsid w:val="003012CF"/>
    <w:rsid w:val="003111A3"/>
    <w:rsid w:val="00313266"/>
    <w:rsid w:val="00313B52"/>
    <w:rsid w:val="003161E4"/>
    <w:rsid w:val="00323C7F"/>
    <w:rsid w:val="00324BB4"/>
    <w:rsid w:val="00330E73"/>
    <w:rsid w:val="00336008"/>
    <w:rsid w:val="00337C73"/>
    <w:rsid w:val="00337C99"/>
    <w:rsid w:val="00343886"/>
    <w:rsid w:val="00353E1C"/>
    <w:rsid w:val="003661CF"/>
    <w:rsid w:val="00392B36"/>
    <w:rsid w:val="00394E94"/>
    <w:rsid w:val="003A61B7"/>
    <w:rsid w:val="003A6C36"/>
    <w:rsid w:val="003B2654"/>
    <w:rsid w:val="003C1782"/>
    <w:rsid w:val="003C1B8C"/>
    <w:rsid w:val="003C547D"/>
    <w:rsid w:val="003C55E4"/>
    <w:rsid w:val="003E4CF3"/>
    <w:rsid w:val="003F0F70"/>
    <w:rsid w:val="003F3C3D"/>
    <w:rsid w:val="00406BF9"/>
    <w:rsid w:val="004161D6"/>
    <w:rsid w:val="00417BC9"/>
    <w:rsid w:val="0044018C"/>
    <w:rsid w:val="004419F4"/>
    <w:rsid w:val="004423BD"/>
    <w:rsid w:val="00444417"/>
    <w:rsid w:val="004557DF"/>
    <w:rsid w:val="00484F3A"/>
    <w:rsid w:val="00487DA2"/>
    <w:rsid w:val="00494692"/>
    <w:rsid w:val="004953D8"/>
    <w:rsid w:val="004B592A"/>
    <w:rsid w:val="004B6824"/>
    <w:rsid w:val="004C4886"/>
    <w:rsid w:val="004D52E8"/>
    <w:rsid w:val="004E1CCE"/>
    <w:rsid w:val="004F03B1"/>
    <w:rsid w:val="0050178D"/>
    <w:rsid w:val="00512438"/>
    <w:rsid w:val="0054296B"/>
    <w:rsid w:val="0054392C"/>
    <w:rsid w:val="00560D9F"/>
    <w:rsid w:val="00561B49"/>
    <w:rsid w:val="00567B26"/>
    <w:rsid w:val="0057004D"/>
    <w:rsid w:val="00571414"/>
    <w:rsid w:val="005747D3"/>
    <w:rsid w:val="005778C7"/>
    <w:rsid w:val="00590F26"/>
    <w:rsid w:val="00591BC5"/>
    <w:rsid w:val="00592705"/>
    <w:rsid w:val="00594969"/>
    <w:rsid w:val="005A6341"/>
    <w:rsid w:val="005B0341"/>
    <w:rsid w:val="005C3765"/>
    <w:rsid w:val="005C61AE"/>
    <w:rsid w:val="005E219A"/>
    <w:rsid w:val="005E61C5"/>
    <w:rsid w:val="006063FA"/>
    <w:rsid w:val="0061235F"/>
    <w:rsid w:val="00617A54"/>
    <w:rsid w:val="006221A6"/>
    <w:rsid w:val="00633077"/>
    <w:rsid w:val="00633941"/>
    <w:rsid w:val="00636CE6"/>
    <w:rsid w:val="0064199A"/>
    <w:rsid w:val="00650F94"/>
    <w:rsid w:val="0065520D"/>
    <w:rsid w:val="006618B5"/>
    <w:rsid w:val="006626B3"/>
    <w:rsid w:val="00671AD2"/>
    <w:rsid w:val="00671D64"/>
    <w:rsid w:val="00672736"/>
    <w:rsid w:val="00690E9E"/>
    <w:rsid w:val="00690FBB"/>
    <w:rsid w:val="00693E39"/>
    <w:rsid w:val="006A0A55"/>
    <w:rsid w:val="006A3DA8"/>
    <w:rsid w:val="006B0E07"/>
    <w:rsid w:val="006B4FB1"/>
    <w:rsid w:val="006B641C"/>
    <w:rsid w:val="006C377F"/>
    <w:rsid w:val="006C4BC3"/>
    <w:rsid w:val="006C533F"/>
    <w:rsid w:val="006D054D"/>
    <w:rsid w:val="0070060A"/>
    <w:rsid w:val="00703D01"/>
    <w:rsid w:val="00705609"/>
    <w:rsid w:val="00717271"/>
    <w:rsid w:val="00722991"/>
    <w:rsid w:val="00732952"/>
    <w:rsid w:val="0073749C"/>
    <w:rsid w:val="00747154"/>
    <w:rsid w:val="00750399"/>
    <w:rsid w:val="00754B64"/>
    <w:rsid w:val="007566F5"/>
    <w:rsid w:val="00756822"/>
    <w:rsid w:val="00761E11"/>
    <w:rsid w:val="00762FA5"/>
    <w:rsid w:val="00767C0B"/>
    <w:rsid w:val="00775389"/>
    <w:rsid w:val="00776AC6"/>
    <w:rsid w:val="00781D18"/>
    <w:rsid w:val="00783B51"/>
    <w:rsid w:val="00785157"/>
    <w:rsid w:val="00795581"/>
    <w:rsid w:val="007A09A0"/>
    <w:rsid w:val="007A15EA"/>
    <w:rsid w:val="007A5A3B"/>
    <w:rsid w:val="007A60A6"/>
    <w:rsid w:val="007B2BD2"/>
    <w:rsid w:val="007B71DA"/>
    <w:rsid w:val="007C2E25"/>
    <w:rsid w:val="007C6F31"/>
    <w:rsid w:val="007C7417"/>
    <w:rsid w:val="007D293B"/>
    <w:rsid w:val="007D2EB5"/>
    <w:rsid w:val="007D5FF9"/>
    <w:rsid w:val="007E163B"/>
    <w:rsid w:val="007F2695"/>
    <w:rsid w:val="007F4157"/>
    <w:rsid w:val="00802E51"/>
    <w:rsid w:val="00814F17"/>
    <w:rsid w:val="0081603F"/>
    <w:rsid w:val="008162DC"/>
    <w:rsid w:val="008317DE"/>
    <w:rsid w:val="00854A4B"/>
    <w:rsid w:val="00867119"/>
    <w:rsid w:val="00871AB7"/>
    <w:rsid w:val="00872A45"/>
    <w:rsid w:val="008737C3"/>
    <w:rsid w:val="00873CF0"/>
    <w:rsid w:val="0088077C"/>
    <w:rsid w:val="00883382"/>
    <w:rsid w:val="0089085F"/>
    <w:rsid w:val="008A1869"/>
    <w:rsid w:val="008A59F5"/>
    <w:rsid w:val="008B0FBE"/>
    <w:rsid w:val="008B2087"/>
    <w:rsid w:val="008B5AE1"/>
    <w:rsid w:val="008C5158"/>
    <w:rsid w:val="008D7116"/>
    <w:rsid w:val="008E5113"/>
    <w:rsid w:val="008F50B6"/>
    <w:rsid w:val="008F592F"/>
    <w:rsid w:val="009066F6"/>
    <w:rsid w:val="00914654"/>
    <w:rsid w:val="00917D00"/>
    <w:rsid w:val="00927AE9"/>
    <w:rsid w:val="00944580"/>
    <w:rsid w:val="00967466"/>
    <w:rsid w:val="00980EA0"/>
    <w:rsid w:val="0098117E"/>
    <w:rsid w:val="009822E4"/>
    <w:rsid w:val="00983A8C"/>
    <w:rsid w:val="009848FD"/>
    <w:rsid w:val="00991EF8"/>
    <w:rsid w:val="009A4081"/>
    <w:rsid w:val="009A719F"/>
    <w:rsid w:val="009B336D"/>
    <w:rsid w:val="009D17D5"/>
    <w:rsid w:val="009D3E7D"/>
    <w:rsid w:val="009E3AD8"/>
    <w:rsid w:val="009E5FC4"/>
    <w:rsid w:val="009E7E1C"/>
    <w:rsid w:val="009F3665"/>
    <w:rsid w:val="009F37CA"/>
    <w:rsid w:val="00A039A6"/>
    <w:rsid w:val="00A0724B"/>
    <w:rsid w:val="00A14BFF"/>
    <w:rsid w:val="00A16AB4"/>
    <w:rsid w:val="00A27738"/>
    <w:rsid w:val="00A404A3"/>
    <w:rsid w:val="00A47BE2"/>
    <w:rsid w:val="00A53D2E"/>
    <w:rsid w:val="00A63506"/>
    <w:rsid w:val="00A707E1"/>
    <w:rsid w:val="00A95222"/>
    <w:rsid w:val="00AA55F6"/>
    <w:rsid w:val="00AA5F36"/>
    <w:rsid w:val="00AA6D49"/>
    <w:rsid w:val="00AB49ED"/>
    <w:rsid w:val="00AB4AE2"/>
    <w:rsid w:val="00AC07D3"/>
    <w:rsid w:val="00AC1608"/>
    <w:rsid w:val="00AC2FB4"/>
    <w:rsid w:val="00AC35C0"/>
    <w:rsid w:val="00AD5D43"/>
    <w:rsid w:val="00AE7A2F"/>
    <w:rsid w:val="00AF1DD3"/>
    <w:rsid w:val="00AF6F9C"/>
    <w:rsid w:val="00B04277"/>
    <w:rsid w:val="00B06B02"/>
    <w:rsid w:val="00B128F6"/>
    <w:rsid w:val="00B16507"/>
    <w:rsid w:val="00B241AB"/>
    <w:rsid w:val="00B3461F"/>
    <w:rsid w:val="00B41CD7"/>
    <w:rsid w:val="00B42056"/>
    <w:rsid w:val="00B471F4"/>
    <w:rsid w:val="00B76155"/>
    <w:rsid w:val="00B91AA3"/>
    <w:rsid w:val="00B94E13"/>
    <w:rsid w:val="00B954CA"/>
    <w:rsid w:val="00BA0128"/>
    <w:rsid w:val="00BB52A3"/>
    <w:rsid w:val="00BC3E31"/>
    <w:rsid w:val="00BC4B8D"/>
    <w:rsid w:val="00BC7B3A"/>
    <w:rsid w:val="00BD0291"/>
    <w:rsid w:val="00BE62FB"/>
    <w:rsid w:val="00BF5483"/>
    <w:rsid w:val="00C01346"/>
    <w:rsid w:val="00C072EE"/>
    <w:rsid w:val="00C10940"/>
    <w:rsid w:val="00C1187A"/>
    <w:rsid w:val="00C1432F"/>
    <w:rsid w:val="00C1437B"/>
    <w:rsid w:val="00C14584"/>
    <w:rsid w:val="00C22E19"/>
    <w:rsid w:val="00C3386A"/>
    <w:rsid w:val="00C3721B"/>
    <w:rsid w:val="00C40D9A"/>
    <w:rsid w:val="00C44394"/>
    <w:rsid w:val="00C45B8E"/>
    <w:rsid w:val="00C53519"/>
    <w:rsid w:val="00C54F0D"/>
    <w:rsid w:val="00C571A3"/>
    <w:rsid w:val="00C643E2"/>
    <w:rsid w:val="00C7564D"/>
    <w:rsid w:val="00C811C5"/>
    <w:rsid w:val="00C84773"/>
    <w:rsid w:val="00CA1816"/>
    <w:rsid w:val="00CA31A8"/>
    <w:rsid w:val="00CB3FB5"/>
    <w:rsid w:val="00CC004D"/>
    <w:rsid w:val="00CC6D5B"/>
    <w:rsid w:val="00CD1F5C"/>
    <w:rsid w:val="00CF1024"/>
    <w:rsid w:val="00D04F04"/>
    <w:rsid w:val="00D10F54"/>
    <w:rsid w:val="00D1119C"/>
    <w:rsid w:val="00D14E8C"/>
    <w:rsid w:val="00D15667"/>
    <w:rsid w:val="00D20964"/>
    <w:rsid w:val="00D21EAE"/>
    <w:rsid w:val="00D24048"/>
    <w:rsid w:val="00D27086"/>
    <w:rsid w:val="00D31BC4"/>
    <w:rsid w:val="00D4030F"/>
    <w:rsid w:val="00D42775"/>
    <w:rsid w:val="00D531C5"/>
    <w:rsid w:val="00D56216"/>
    <w:rsid w:val="00D603E8"/>
    <w:rsid w:val="00D76DDF"/>
    <w:rsid w:val="00D80DB7"/>
    <w:rsid w:val="00D933D5"/>
    <w:rsid w:val="00D96AB1"/>
    <w:rsid w:val="00D97C1A"/>
    <w:rsid w:val="00DA68E6"/>
    <w:rsid w:val="00DB1D17"/>
    <w:rsid w:val="00DB3241"/>
    <w:rsid w:val="00DB3B49"/>
    <w:rsid w:val="00DC54C2"/>
    <w:rsid w:val="00DC6905"/>
    <w:rsid w:val="00DD6799"/>
    <w:rsid w:val="00DF5D73"/>
    <w:rsid w:val="00E15D75"/>
    <w:rsid w:val="00E20478"/>
    <w:rsid w:val="00E313E0"/>
    <w:rsid w:val="00E31746"/>
    <w:rsid w:val="00E413D8"/>
    <w:rsid w:val="00E42F9B"/>
    <w:rsid w:val="00E44AE4"/>
    <w:rsid w:val="00E532E1"/>
    <w:rsid w:val="00E54618"/>
    <w:rsid w:val="00E61B8D"/>
    <w:rsid w:val="00E71748"/>
    <w:rsid w:val="00E7285D"/>
    <w:rsid w:val="00E73264"/>
    <w:rsid w:val="00E74C56"/>
    <w:rsid w:val="00E8137C"/>
    <w:rsid w:val="00E9331B"/>
    <w:rsid w:val="00EA1331"/>
    <w:rsid w:val="00EA7D90"/>
    <w:rsid w:val="00EB7E32"/>
    <w:rsid w:val="00EC4968"/>
    <w:rsid w:val="00EE217C"/>
    <w:rsid w:val="00EE38CD"/>
    <w:rsid w:val="00F02722"/>
    <w:rsid w:val="00F06A30"/>
    <w:rsid w:val="00F076D5"/>
    <w:rsid w:val="00F12ED4"/>
    <w:rsid w:val="00F249E5"/>
    <w:rsid w:val="00F327B9"/>
    <w:rsid w:val="00F40117"/>
    <w:rsid w:val="00F4197E"/>
    <w:rsid w:val="00F46DDA"/>
    <w:rsid w:val="00F529DA"/>
    <w:rsid w:val="00F5325F"/>
    <w:rsid w:val="00F55B1E"/>
    <w:rsid w:val="00F6129F"/>
    <w:rsid w:val="00F650D4"/>
    <w:rsid w:val="00F66405"/>
    <w:rsid w:val="00F706FF"/>
    <w:rsid w:val="00F70D7A"/>
    <w:rsid w:val="00F73C03"/>
    <w:rsid w:val="00F81F5C"/>
    <w:rsid w:val="00F82C5E"/>
    <w:rsid w:val="00F8618E"/>
    <w:rsid w:val="00F94FFE"/>
    <w:rsid w:val="00FA54A6"/>
    <w:rsid w:val="00FB26C1"/>
    <w:rsid w:val="00FD00CF"/>
    <w:rsid w:val="00FD1978"/>
    <w:rsid w:val="00FD6D63"/>
    <w:rsid w:val="149B549C"/>
    <w:rsid w:val="1A802F17"/>
    <w:rsid w:val="1AB33062"/>
    <w:rsid w:val="263A55D7"/>
    <w:rsid w:val="29216576"/>
    <w:rsid w:val="2C3979F2"/>
    <w:rsid w:val="36AF6C5F"/>
    <w:rsid w:val="389B749B"/>
    <w:rsid w:val="3D5F4C7A"/>
    <w:rsid w:val="407354EE"/>
    <w:rsid w:val="431F1707"/>
    <w:rsid w:val="49ED2E91"/>
    <w:rsid w:val="53D6A0C6"/>
    <w:rsid w:val="63367C3C"/>
    <w:rsid w:val="76AB4857"/>
    <w:rsid w:val="FEEE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FE0A4F"/>
  <w15:docId w15:val="{4AB5A8BB-04FA-40CA-891C-B2D82B5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uiPriority w:val="99"/>
    <w:unhideWhenUsed/>
    <w:qFormat/>
    <w:pPr>
      <w:tabs>
        <w:tab w:val="center" w:pos="4153"/>
        <w:tab w:val="right" w:pos="8306"/>
      </w:tabs>
      <w:snapToGrid w:val="0"/>
      <w:jc w:val="left"/>
    </w:pPr>
    <w:rPr>
      <w:sz w:val="18"/>
      <w:szCs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标准标志"/>
    <w:next w:val="a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前言、引言标题"/>
    <w:next w:val="a9"/>
    <w:qFormat/>
    <w:pPr>
      <w:keepNext/>
      <w:pageBreakBefore/>
      <w:shd w:val="clear" w:color="FFFFFF" w:fill="FFFFFF"/>
      <w:spacing w:before="640" w:after="560"/>
      <w:jc w:val="center"/>
      <w:outlineLvl w:val="0"/>
    </w:pPr>
    <w:rPr>
      <w:rFonts w:ascii="黑体" w:eastAsia="黑体"/>
      <w:sz w:val="32"/>
    </w:rPr>
  </w:style>
  <w:style w:type="paragraph" w:customStyle="1" w:styleId="a9">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a">
    <w:name w:val="目次、标准名称标题"/>
    <w:basedOn w:val="a0"/>
    <w:next w:val="a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
    <w:name w:val="章标题"/>
    <w:next w:val="a9"/>
    <w:qFormat/>
    <w:pPr>
      <w:numPr>
        <w:numId w:val="1"/>
      </w:numPr>
      <w:spacing w:beforeLines="100" w:before="312" w:afterLines="100" w:after="312"/>
      <w:jc w:val="both"/>
      <w:outlineLvl w:val="1"/>
    </w:pPr>
    <w:rPr>
      <w:rFonts w:ascii="黑体" w:eastAsia="黑体"/>
      <w:sz w:val="21"/>
    </w:rPr>
  </w:style>
  <w:style w:type="paragraph" w:customStyle="1" w:styleId="ab">
    <w:name w:val="终结线"/>
    <w:basedOn w:val="a0"/>
    <w:qFormat/>
    <w:pPr>
      <w:framePr w:hSpace="181" w:vSpace="181" w:wrap="around" w:vAnchor="text" w:hAnchor="margin" w:xAlign="center" w:y="285"/>
    </w:pPr>
  </w:style>
  <w:style w:type="paragraph" w:customStyle="1" w:styleId="ac">
    <w:name w:val="标准书眉_奇数页"/>
    <w:next w:val="a0"/>
    <w:qFormat/>
    <w:pPr>
      <w:tabs>
        <w:tab w:val="center" w:pos="4154"/>
        <w:tab w:val="right" w:pos="8306"/>
      </w:tabs>
      <w:spacing w:after="220"/>
      <w:jc w:val="right"/>
    </w:pPr>
    <w:rPr>
      <w:rFonts w:ascii="黑体" w:eastAsia="黑体"/>
      <w:sz w:val="21"/>
      <w:szCs w:val="21"/>
    </w:rPr>
  </w:style>
  <w:style w:type="paragraph" w:customStyle="1" w:styleId="ad">
    <w:name w:val="标准书脚_奇数页"/>
    <w:qFormat/>
    <w:pPr>
      <w:spacing w:before="120"/>
      <w:ind w:right="198"/>
      <w:jc w:val="right"/>
    </w:pPr>
    <w:rPr>
      <w:rFonts w:ascii="宋体"/>
      <w:sz w:val="18"/>
      <w:szCs w:val="18"/>
    </w:rPr>
  </w:style>
  <w:style w:type="paragraph" w:styleId="ae">
    <w:name w:val="List Paragraph"/>
    <w:basedOn w:val="a0"/>
    <w:uiPriority w:val="99"/>
    <w:unhideWhenUsed/>
    <w:qFormat/>
    <w:pPr>
      <w:ind w:firstLineChars="200" w:firstLine="420"/>
    </w:pPr>
  </w:style>
  <w:style w:type="paragraph" w:customStyle="1" w:styleId="1">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BFB439-36C7-406A-8572-DC867187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1404</Words>
  <Characters>1616</Characters>
  <Application>Microsoft Office Word</Application>
  <DocSecurity>0</DocSecurity>
  <Lines>80</Lines>
  <Paragraphs>97</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云海</dc:creator>
  <cp:lastModifiedBy>xin nai</cp:lastModifiedBy>
  <cp:revision>4</cp:revision>
  <cp:lastPrinted>2023-09-08T15:10:00Z</cp:lastPrinted>
  <dcterms:created xsi:type="dcterms:W3CDTF">2026-06-17T03:05:00Z</dcterms:created>
  <dcterms:modified xsi:type="dcterms:W3CDTF">2026-06-17T03:42:00Z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A55576195EA74C7A9AC53E9D8F6C4C37</vt:lpwstr>
  </property>
  <property fmtid="{D5CDD505-2E9C-101B-9397-08002B2CF9AE}" pid="4" name="KSOTemplateDocerSaveRecord">
    <vt:lpwstr>eyJoZGlkIjoiZmM5ZjEwMjVmOTFmMTBjOWYzOGJiY2ZkN2ExYWJlZmEiLCJ1c2VySWQiOiI3ODQwOTY1NDMifQ==</vt:lpwstr>
  </property>
</Properties>
</file>