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1F" w:rsidRPr="00975CBF" w:rsidRDefault="00D4331F" w:rsidP="00F9616A">
      <w:pPr>
        <w:adjustRightInd w:val="0"/>
        <w:snapToGrid w:val="0"/>
        <w:spacing w:line="600" w:lineRule="exact"/>
        <w:jc w:val="center"/>
        <w:rPr>
          <w:rFonts w:eastAsia="方正小标宋简体"/>
          <w:sz w:val="44"/>
          <w:szCs w:val="44"/>
        </w:rPr>
      </w:pPr>
      <w:r w:rsidRPr="00975CBF">
        <w:rPr>
          <w:rFonts w:eastAsia="方正小标宋简体"/>
          <w:sz w:val="44"/>
          <w:szCs w:val="44"/>
        </w:rPr>
        <w:t>中国农业科学院植物保护研究所</w:t>
      </w:r>
    </w:p>
    <w:p w:rsidR="00D4331F" w:rsidRDefault="00D4331F" w:rsidP="00F9616A">
      <w:pPr>
        <w:adjustRightInd w:val="0"/>
        <w:snapToGrid w:val="0"/>
        <w:spacing w:line="600" w:lineRule="exact"/>
        <w:jc w:val="center"/>
        <w:rPr>
          <w:rFonts w:eastAsia="方正小标宋简体"/>
          <w:sz w:val="44"/>
          <w:szCs w:val="44"/>
        </w:rPr>
      </w:pPr>
      <w:r w:rsidRPr="00975CBF">
        <w:rPr>
          <w:rFonts w:eastAsia="方正小标宋简体"/>
          <w:sz w:val="44"/>
          <w:szCs w:val="44"/>
        </w:rPr>
        <w:t>科研用房租用收费管理试行办法</w:t>
      </w:r>
    </w:p>
    <w:p w:rsidR="00D4331F" w:rsidRPr="00F9616A" w:rsidRDefault="00F9616A" w:rsidP="00F9616A">
      <w:pPr>
        <w:widowControl/>
        <w:spacing w:line="600" w:lineRule="exact"/>
        <w:ind w:firstLine="420"/>
        <w:rPr>
          <w:rFonts w:ascii="仿宋_GB2312" w:eastAsia="仿宋_GB2312"/>
          <w:sz w:val="28"/>
          <w:szCs w:val="28"/>
        </w:rPr>
      </w:pPr>
      <w:r>
        <w:rPr>
          <w:rFonts w:ascii="仿宋_GB2312" w:eastAsia="仿宋_GB2312" w:hint="eastAsia"/>
          <w:sz w:val="28"/>
          <w:szCs w:val="28"/>
        </w:rPr>
        <w:t xml:space="preserve">              </w:t>
      </w:r>
      <w:r w:rsidRPr="00F9616A">
        <w:rPr>
          <w:rFonts w:ascii="仿宋_GB2312" w:eastAsia="仿宋_GB2312" w:hint="eastAsia"/>
          <w:sz w:val="28"/>
          <w:szCs w:val="28"/>
        </w:rPr>
        <w:t>（</w:t>
      </w:r>
      <w:r w:rsidR="00D4331F" w:rsidRPr="00F9616A">
        <w:rPr>
          <w:rFonts w:ascii="仿宋_GB2312" w:eastAsia="仿宋_GB2312" w:hint="eastAsia"/>
          <w:sz w:val="28"/>
          <w:szCs w:val="28"/>
        </w:rPr>
        <w:t>农科植保办</w:t>
      </w:r>
      <w:r w:rsidRPr="00F9616A">
        <w:rPr>
          <w:rFonts w:ascii="仿宋_GB2312" w:eastAsia="仿宋_GB2312" w:hAnsi="Calibri" w:hint="eastAsia"/>
          <w:sz w:val="28"/>
          <w:szCs w:val="28"/>
        </w:rPr>
        <w:t>[</w:t>
      </w:r>
      <w:r w:rsidR="00D4331F" w:rsidRPr="00F9616A">
        <w:rPr>
          <w:rFonts w:ascii="仿宋_GB2312" w:eastAsia="仿宋_GB2312" w:hAnsi="Calibri" w:hint="eastAsia"/>
          <w:sz w:val="28"/>
          <w:szCs w:val="28"/>
        </w:rPr>
        <w:t>2017</w:t>
      </w:r>
      <w:r w:rsidRPr="00F9616A">
        <w:rPr>
          <w:rFonts w:ascii="仿宋_GB2312" w:eastAsia="仿宋_GB2312" w:hAnsi="Calibri" w:hint="eastAsia"/>
          <w:sz w:val="28"/>
          <w:szCs w:val="28"/>
        </w:rPr>
        <w:t>]</w:t>
      </w:r>
      <w:r w:rsidR="00D4331F" w:rsidRPr="00F9616A">
        <w:rPr>
          <w:rFonts w:ascii="仿宋_GB2312" w:eastAsia="仿宋_GB2312" w:hAnsi="Calibri" w:hint="eastAsia"/>
          <w:sz w:val="28"/>
          <w:szCs w:val="28"/>
        </w:rPr>
        <w:t>15</w:t>
      </w:r>
      <w:r w:rsidR="00D4331F" w:rsidRPr="00F9616A">
        <w:rPr>
          <w:rFonts w:ascii="仿宋_GB2312" w:eastAsia="仿宋_GB2312" w:hint="eastAsia"/>
          <w:sz w:val="28"/>
          <w:szCs w:val="28"/>
        </w:rPr>
        <w:t>号</w:t>
      </w:r>
      <w:r w:rsidRPr="00F9616A">
        <w:rPr>
          <w:rFonts w:ascii="仿宋_GB2312" w:eastAsia="仿宋_GB2312" w:hint="eastAsia"/>
          <w:sz w:val="28"/>
          <w:szCs w:val="28"/>
        </w:rPr>
        <w:t>）</w:t>
      </w:r>
      <w:bookmarkStart w:id="0" w:name="_GoBack"/>
      <w:bookmarkEnd w:id="0"/>
    </w:p>
    <w:p w:rsidR="00D4331F" w:rsidRPr="00975CBF" w:rsidRDefault="00D4331F" w:rsidP="00D4331F">
      <w:pPr>
        <w:adjustRightInd w:val="0"/>
        <w:snapToGrid w:val="0"/>
        <w:spacing w:line="560" w:lineRule="exact"/>
        <w:jc w:val="center"/>
        <w:rPr>
          <w:rFonts w:eastAsia="方正小标宋简体"/>
          <w:sz w:val="44"/>
        </w:rPr>
      </w:pPr>
    </w:p>
    <w:p w:rsidR="00D4331F" w:rsidRPr="00EE580F" w:rsidRDefault="00D4331F" w:rsidP="00D4331F">
      <w:pPr>
        <w:numPr>
          <w:ilvl w:val="0"/>
          <w:numId w:val="1"/>
        </w:numPr>
        <w:tabs>
          <w:tab w:val="clear" w:pos="720"/>
          <w:tab w:val="left" w:pos="0"/>
        </w:tabs>
        <w:adjustRightInd w:val="0"/>
        <w:snapToGrid w:val="0"/>
        <w:spacing w:line="560" w:lineRule="atLeast"/>
        <w:ind w:left="0" w:firstLineChars="200" w:firstLine="640"/>
        <w:rPr>
          <w:rFonts w:eastAsia="仿宋_GB2312"/>
          <w:bCs/>
          <w:sz w:val="32"/>
          <w:szCs w:val="32"/>
        </w:rPr>
      </w:pPr>
      <w:r w:rsidRPr="00EE580F">
        <w:rPr>
          <w:rFonts w:eastAsia="仿宋_GB2312"/>
          <w:bCs/>
          <w:sz w:val="32"/>
          <w:szCs w:val="32"/>
        </w:rPr>
        <w:t>为促进我所科技创新工作开展，提高科研用房的利用率，使科研用房及科研辅助房使用更加合理，管理进一步规范，根据本所实际情况，特制订本办法。</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EE580F">
        <w:rPr>
          <w:rFonts w:eastAsia="仿宋_GB2312"/>
          <w:b/>
          <w:bCs/>
          <w:sz w:val="32"/>
          <w:szCs w:val="32"/>
        </w:rPr>
        <w:t>第二条</w:t>
      </w:r>
      <w:r w:rsidRPr="00EE580F">
        <w:rPr>
          <w:rFonts w:eastAsia="仿宋_GB2312"/>
          <w:bCs/>
          <w:sz w:val="32"/>
          <w:szCs w:val="32"/>
        </w:rPr>
        <w:t xml:space="preserve"> </w:t>
      </w:r>
      <w:r w:rsidRPr="00EE580F">
        <w:rPr>
          <w:rFonts w:eastAsia="仿宋_GB2312"/>
          <w:bCs/>
          <w:sz w:val="32"/>
          <w:szCs w:val="32"/>
        </w:rPr>
        <w:t>本办法所称的科研用房，是指本所在职科技人员开展以本所名义承担的各类科研、开发、条件建设、能力建设等项目或课题为目的所占用的、位于中国农科院马连洼三所区、及租用其他单位北京地区的房屋（包括简易房）。本办法所称的科研辅助房，是指位于中国农科院马连洼三所区内的温室、低温温室、温室操作间和养虫室。以上科研用房和辅助用房资源由研究所统一调配，各研究组及部门需与研究所签订合同后，方可租用。</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EE580F">
        <w:rPr>
          <w:rFonts w:eastAsia="仿宋_GB2312"/>
          <w:b/>
          <w:bCs/>
          <w:sz w:val="32"/>
          <w:szCs w:val="32"/>
        </w:rPr>
        <w:t>第三条</w:t>
      </w:r>
      <w:r w:rsidRPr="00EE580F">
        <w:rPr>
          <w:rFonts w:eastAsia="仿宋_GB2312"/>
          <w:bCs/>
          <w:sz w:val="32"/>
          <w:szCs w:val="32"/>
        </w:rPr>
        <w:t xml:space="preserve"> </w:t>
      </w:r>
      <w:r w:rsidRPr="00EE580F">
        <w:rPr>
          <w:rFonts w:eastAsia="仿宋_GB2312"/>
          <w:bCs/>
          <w:sz w:val="32"/>
          <w:szCs w:val="32"/>
        </w:rPr>
        <w:t>根据农业部《全国农业科技创新能力条件建设规划》，参考《科研建筑工程规划面积指标》（建标</w:t>
      </w:r>
      <w:r w:rsidRPr="00EE580F">
        <w:rPr>
          <w:rFonts w:eastAsia="仿宋_GB2312"/>
          <w:bCs/>
          <w:sz w:val="32"/>
          <w:szCs w:val="32"/>
        </w:rPr>
        <w:t>[1991]708</w:t>
      </w:r>
      <w:r w:rsidRPr="00EE580F">
        <w:rPr>
          <w:rFonts w:eastAsia="仿宋_GB2312"/>
          <w:bCs/>
          <w:sz w:val="32"/>
          <w:szCs w:val="32"/>
        </w:rPr>
        <w:t>号）植保科学的规划建筑面积指标（建筑面积</w:t>
      </w:r>
      <w:r w:rsidRPr="00EE580F">
        <w:rPr>
          <w:rFonts w:eastAsia="仿宋_GB2312"/>
          <w:bCs/>
          <w:sz w:val="32"/>
          <w:szCs w:val="32"/>
        </w:rPr>
        <w:t>62.5</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人，折合使用面积</w:t>
      </w:r>
      <w:r w:rsidRPr="00EE580F">
        <w:rPr>
          <w:rFonts w:eastAsia="仿宋_GB2312"/>
          <w:bCs/>
          <w:sz w:val="32"/>
          <w:szCs w:val="32"/>
        </w:rPr>
        <w:t>46</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人），结合本所现有房源和各研究组在职职工人数、结构等情况，核定各研究组用房面积标准，并制定科研用房租用收费标准。科研用房面积（以使用面积计算）以研究组为单位进行核定。人员及职称以当年</w:t>
      </w:r>
      <w:r w:rsidRPr="00EE580F">
        <w:rPr>
          <w:rFonts w:eastAsia="仿宋_GB2312"/>
          <w:bCs/>
          <w:sz w:val="32"/>
          <w:szCs w:val="32"/>
        </w:rPr>
        <w:t>12</w:t>
      </w:r>
      <w:r w:rsidRPr="00EE580F">
        <w:rPr>
          <w:rFonts w:eastAsia="仿宋_GB2312"/>
          <w:bCs/>
          <w:sz w:val="32"/>
          <w:szCs w:val="32"/>
        </w:rPr>
        <w:t>月底为标准，标准如下：</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1</w:t>
      </w:r>
      <w:r w:rsidRPr="00EE580F">
        <w:rPr>
          <w:rFonts w:eastAsia="仿宋_GB2312"/>
          <w:bCs/>
          <w:sz w:val="32"/>
          <w:szCs w:val="32"/>
        </w:rPr>
        <w:t>、两院院士，</w:t>
      </w:r>
      <w:r w:rsidRPr="00EE580F">
        <w:rPr>
          <w:rFonts w:eastAsia="仿宋_GB2312"/>
          <w:bCs/>
          <w:sz w:val="32"/>
          <w:szCs w:val="32"/>
        </w:rPr>
        <w:t>80</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lastRenderedPageBreak/>
        <w:t>2</w:t>
      </w:r>
      <w:r w:rsidRPr="00EE580F">
        <w:rPr>
          <w:rFonts w:eastAsia="仿宋_GB2312"/>
          <w:bCs/>
          <w:sz w:val="32"/>
          <w:szCs w:val="32"/>
        </w:rPr>
        <w:t>、正高级职称，</w:t>
      </w:r>
      <w:r w:rsidRPr="00EE580F">
        <w:rPr>
          <w:rFonts w:eastAsia="仿宋_GB2312"/>
          <w:bCs/>
          <w:sz w:val="32"/>
          <w:szCs w:val="32"/>
        </w:rPr>
        <w:t>60</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3</w:t>
      </w:r>
      <w:r w:rsidRPr="00EE580F">
        <w:rPr>
          <w:rFonts w:eastAsia="仿宋_GB2312"/>
          <w:bCs/>
          <w:sz w:val="32"/>
          <w:szCs w:val="32"/>
        </w:rPr>
        <w:t>、副高级职称，</w:t>
      </w:r>
      <w:r w:rsidRPr="00EE580F">
        <w:rPr>
          <w:rFonts w:eastAsia="仿宋_GB2312"/>
          <w:bCs/>
          <w:sz w:val="32"/>
          <w:szCs w:val="32"/>
        </w:rPr>
        <w:t>40</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4</w:t>
      </w:r>
      <w:r w:rsidRPr="00EE580F">
        <w:rPr>
          <w:rFonts w:eastAsia="仿宋_GB2312"/>
          <w:bCs/>
          <w:sz w:val="32"/>
          <w:szCs w:val="32"/>
        </w:rPr>
        <w:t>、中级职称及以下人员，</w:t>
      </w:r>
      <w:r w:rsidRPr="00EE580F">
        <w:rPr>
          <w:rFonts w:eastAsia="仿宋_GB2312"/>
          <w:bCs/>
          <w:sz w:val="32"/>
          <w:szCs w:val="32"/>
        </w:rPr>
        <w:t>20</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人；</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5</w:t>
      </w:r>
      <w:r w:rsidRPr="00EE580F">
        <w:rPr>
          <w:rFonts w:eastAsia="仿宋_GB2312"/>
          <w:bCs/>
          <w:sz w:val="32"/>
          <w:szCs w:val="32"/>
        </w:rPr>
        <w:t>、各研究组定量评价绩效每分奖励</w:t>
      </w:r>
      <w:r w:rsidRPr="00EE580F">
        <w:rPr>
          <w:rFonts w:eastAsia="仿宋_GB2312"/>
          <w:bCs/>
          <w:sz w:val="32"/>
          <w:szCs w:val="32"/>
        </w:rPr>
        <w:t>2</w:t>
      </w:r>
      <w:r w:rsidRPr="00EE580F">
        <w:rPr>
          <w:rFonts w:eastAsia="仿宋_GB2312"/>
          <w:bCs/>
          <w:sz w:val="32"/>
          <w:szCs w:val="32"/>
        </w:rPr>
        <w:t>平方米，（按照每年情况计算，人才得分只计算获得当年的一次）</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 xml:space="preserve">   </w:t>
      </w:r>
      <w:r w:rsidRPr="00EE580F">
        <w:rPr>
          <w:rFonts w:eastAsia="仿宋_GB2312"/>
          <w:bCs/>
          <w:sz w:val="32"/>
          <w:szCs w:val="32"/>
        </w:rPr>
        <w:t>以上各类总面积之和构成各研究组的核定面积。</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001352">
        <w:rPr>
          <w:rFonts w:eastAsia="仿宋_GB2312"/>
          <w:b/>
          <w:bCs/>
          <w:sz w:val="32"/>
          <w:szCs w:val="32"/>
        </w:rPr>
        <w:t>第四条</w:t>
      </w:r>
      <w:r>
        <w:rPr>
          <w:rFonts w:eastAsia="仿宋_GB2312" w:hint="eastAsia"/>
          <w:bCs/>
          <w:sz w:val="32"/>
          <w:szCs w:val="32"/>
        </w:rPr>
        <w:t xml:space="preserve"> </w:t>
      </w:r>
      <w:r w:rsidRPr="00EE580F">
        <w:rPr>
          <w:rFonts w:eastAsia="仿宋_GB2312"/>
          <w:bCs/>
          <w:sz w:val="32"/>
          <w:szCs w:val="32"/>
        </w:rPr>
        <w:t>租用收费标准</w:t>
      </w:r>
    </w:p>
    <w:p w:rsidR="00D4331F" w:rsidRPr="00EE580F" w:rsidRDefault="00D4331F" w:rsidP="00D4331F">
      <w:pPr>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（一）科研用房收费标准</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1</w:t>
      </w:r>
      <w:r w:rsidRPr="00EE580F">
        <w:rPr>
          <w:rFonts w:eastAsia="仿宋_GB2312"/>
          <w:bCs/>
          <w:sz w:val="32"/>
          <w:szCs w:val="32"/>
        </w:rPr>
        <w:t>．科研用房在核定面积之内，研究所不收取房屋租用费。</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2</w:t>
      </w:r>
      <w:r w:rsidRPr="00EE580F">
        <w:rPr>
          <w:rFonts w:eastAsia="仿宋_GB2312"/>
          <w:bCs/>
          <w:sz w:val="32"/>
          <w:szCs w:val="32"/>
        </w:rPr>
        <w:t>．科研用房及科研辅助房中超出核定面积的部分收取租用费：</w:t>
      </w:r>
    </w:p>
    <w:p w:rsidR="00D4331F" w:rsidRPr="00EE580F" w:rsidRDefault="00D4331F" w:rsidP="00D4331F">
      <w:pPr>
        <w:tabs>
          <w:tab w:val="left" w:pos="0"/>
        </w:tabs>
        <w:adjustRightInd w:val="0"/>
        <w:snapToGrid w:val="0"/>
        <w:spacing w:line="560" w:lineRule="atLeast"/>
        <w:ind w:firstLineChars="192" w:firstLine="614"/>
        <w:rPr>
          <w:rFonts w:eastAsia="仿宋_GB2312"/>
          <w:bCs/>
          <w:sz w:val="32"/>
          <w:szCs w:val="32"/>
        </w:rPr>
      </w:pPr>
      <w:r w:rsidRPr="00EE580F">
        <w:rPr>
          <w:rFonts w:eastAsia="仿宋_GB2312"/>
          <w:bCs/>
          <w:sz w:val="32"/>
          <w:szCs w:val="32"/>
        </w:rPr>
        <w:t>表</w:t>
      </w:r>
      <w:r w:rsidRPr="00EE580F">
        <w:rPr>
          <w:rFonts w:eastAsia="仿宋_GB2312"/>
          <w:bCs/>
          <w:sz w:val="32"/>
          <w:szCs w:val="32"/>
        </w:rPr>
        <w:t xml:space="preserve">1   </w:t>
      </w:r>
      <w:r w:rsidRPr="00EE580F">
        <w:rPr>
          <w:rFonts w:eastAsia="仿宋_GB2312"/>
          <w:bCs/>
          <w:sz w:val="32"/>
          <w:szCs w:val="32"/>
        </w:rPr>
        <w:t>科研用房及科研辅助房租用费标准</w:t>
      </w:r>
    </w:p>
    <w:tbl>
      <w:tblPr>
        <w:tblW w:w="8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6"/>
        <w:gridCol w:w="2077"/>
        <w:gridCol w:w="1559"/>
        <w:gridCol w:w="1276"/>
        <w:gridCol w:w="1858"/>
      </w:tblGrid>
      <w:tr w:rsidR="00D4331F" w:rsidRPr="003B1D7C" w:rsidTr="00F67EC1">
        <w:trPr>
          <w:jc w:val="center"/>
        </w:trPr>
        <w:tc>
          <w:tcPr>
            <w:tcW w:w="1386" w:type="dxa"/>
            <w:vMerge w:val="restart"/>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分级</w:t>
            </w:r>
          </w:p>
        </w:tc>
        <w:tc>
          <w:tcPr>
            <w:tcW w:w="2077" w:type="dxa"/>
            <w:vMerge w:val="restart"/>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超标率</w:t>
            </w:r>
            <w:r w:rsidRPr="003B1D7C">
              <w:rPr>
                <w:rFonts w:eastAsia="仿宋_GB2312"/>
                <w:bCs/>
                <w:sz w:val="28"/>
                <w:szCs w:val="28"/>
                <w:vertAlign w:val="superscript"/>
              </w:rPr>
              <w:t>*</w:t>
            </w:r>
          </w:p>
        </w:tc>
        <w:tc>
          <w:tcPr>
            <w:tcW w:w="2835" w:type="dxa"/>
            <w:gridSpan w:val="2"/>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收费标准（元</w:t>
            </w:r>
            <w:r w:rsidRPr="003B1D7C">
              <w:rPr>
                <w:rFonts w:eastAsia="仿宋_GB2312"/>
                <w:bCs/>
                <w:sz w:val="28"/>
                <w:szCs w:val="28"/>
              </w:rPr>
              <w:t>/</w:t>
            </w:r>
            <w:r w:rsidRPr="003B1D7C">
              <w:rPr>
                <w:rFonts w:eastAsia="仿宋_GB2312"/>
                <w:bCs/>
                <w:sz w:val="28"/>
                <w:szCs w:val="28"/>
              </w:rPr>
              <w:t>平方米月）</w:t>
            </w:r>
          </w:p>
        </w:tc>
        <w:tc>
          <w:tcPr>
            <w:tcW w:w="1858" w:type="dxa"/>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备注</w:t>
            </w:r>
          </w:p>
        </w:tc>
      </w:tr>
      <w:tr w:rsidR="00D4331F" w:rsidRPr="003B1D7C" w:rsidTr="00F67EC1">
        <w:trPr>
          <w:jc w:val="center"/>
        </w:trPr>
        <w:tc>
          <w:tcPr>
            <w:tcW w:w="1386"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c>
          <w:tcPr>
            <w:tcW w:w="2077"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楼房</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8"/>
                <w:szCs w:val="28"/>
              </w:rPr>
            </w:pPr>
            <w:r w:rsidRPr="003B1D7C">
              <w:rPr>
                <w:rFonts w:eastAsia="仿宋_GB2312"/>
                <w:bCs/>
                <w:sz w:val="28"/>
                <w:szCs w:val="28"/>
              </w:rPr>
              <w:t>简易房</w:t>
            </w:r>
          </w:p>
        </w:tc>
        <w:tc>
          <w:tcPr>
            <w:tcW w:w="1858" w:type="dxa"/>
            <w:vMerge w:val="restart"/>
          </w:tcPr>
          <w:p w:rsidR="00D4331F" w:rsidRPr="003B1D7C" w:rsidRDefault="00D4331F" w:rsidP="00D4331F">
            <w:pPr>
              <w:numPr>
                <w:ilvl w:val="0"/>
                <w:numId w:val="2"/>
              </w:numPr>
              <w:tabs>
                <w:tab w:val="left" w:pos="0"/>
              </w:tabs>
              <w:adjustRightInd w:val="0"/>
              <w:snapToGrid w:val="0"/>
              <w:spacing w:line="560" w:lineRule="atLeast"/>
              <w:ind w:left="0"/>
              <w:jc w:val="left"/>
              <w:rPr>
                <w:rFonts w:eastAsia="仿宋_GB2312"/>
                <w:bCs/>
                <w:sz w:val="24"/>
              </w:rPr>
            </w:pPr>
            <w:r w:rsidRPr="003B1D7C">
              <w:rPr>
                <w:rFonts w:eastAsia="仿宋_GB2312"/>
                <w:bCs/>
                <w:sz w:val="24"/>
              </w:rPr>
              <w:t>（</w:t>
            </w:r>
            <w:r w:rsidRPr="003B1D7C">
              <w:rPr>
                <w:rFonts w:eastAsia="仿宋_GB2312"/>
                <w:bCs/>
                <w:sz w:val="24"/>
              </w:rPr>
              <w:t>1</w:t>
            </w:r>
            <w:r w:rsidRPr="003B1D7C">
              <w:rPr>
                <w:rFonts w:eastAsia="仿宋_GB2312"/>
                <w:bCs/>
                <w:sz w:val="24"/>
              </w:rPr>
              <w:t>）仅超出核定面积部分收费；</w:t>
            </w:r>
          </w:p>
          <w:p w:rsidR="00D4331F" w:rsidRPr="003B1D7C" w:rsidRDefault="00D4331F" w:rsidP="00D4331F">
            <w:pPr>
              <w:numPr>
                <w:ilvl w:val="0"/>
                <w:numId w:val="2"/>
              </w:numPr>
              <w:tabs>
                <w:tab w:val="left" w:pos="0"/>
              </w:tabs>
              <w:adjustRightInd w:val="0"/>
              <w:snapToGrid w:val="0"/>
              <w:spacing w:line="560" w:lineRule="atLeast"/>
              <w:ind w:left="0"/>
              <w:jc w:val="left"/>
              <w:rPr>
                <w:rFonts w:eastAsia="仿宋_GB2312"/>
                <w:bCs/>
                <w:sz w:val="24"/>
              </w:rPr>
            </w:pPr>
            <w:r w:rsidRPr="003B1D7C">
              <w:rPr>
                <w:rFonts w:eastAsia="仿宋_GB2312"/>
                <w:bCs/>
                <w:sz w:val="24"/>
              </w:rPr>
              <w:t>（</w:t>
            </w:r>
            <w:r w:rsidRPr="003B1D7C">
              <w:rPr>
                <w:rFonts w:eastAsia="仿宋_GB2312"/>
                <w:bCs/>
                <w:sz w:val="24"/>
              </w:rPr>
              <w:t>2</w:t>
            </w:r>
            <w:r w:rsidRPr="003B1D7C">
              <w:rPr>
                <w:rFonts w:eastAsia="仿宋_GB2312"/>
                <w:bCs/>
                <w:sz w:val="24"/>
              </w:rPr>
              <w:t>）具体收费按照超标率所对应级别标准核算，例如超出</w:t>
            </w:r>
            <w:r w:rsidRPr="003B1D7C">
              <w:rPr>
                <w:rFonts w:eastAsia="仿宋_GB2312"/>
                <w:bCs/>
                <w:sz w:val="24"/>
              </w:rPr>
              <w:t>32%</w:t>
            </w:r>
            <w:r w:rsidRPr="003B1D7C">
              <w:rPr>
                <w:rFonts w:eastAsia="仿宋_GB2312"/>
                <w:bCs/>
                <w:sz w:val="24"/>
              </w:rPr>
              <w:t>，按照第</w:t>
            </w:r>
            <w:r w:rsidRPr="003B1D7C">
              <w:rPr>
                <w:rFonts w:eastAsia="仿宋_GB2312"/>
                <w:bCs/>
                <w:sz w:val="24"/>
              </w:rPr>
              <w:t>3</w:t>
            </w:r>
            <w:r w:rsidRPr="003B1D7C">
              <w:rPr>
                <w:rFonts w:eastAsia="仿宋_GB2312"/>
                <w:bCs/>
                <w:sz w:val="24"/>
              </w:rPr>
              <w:t>级收费标准计。</w:t>
            </w: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sym w:font="Symbol" w:char="F0A3"/>
            </w:r>
            <w:r w:rsidRPr="003B1D7C">
              <w:rPr>
                <w:rFonts w:eastAsia="仿宋_GB2312"/>
                <w:bCs/>
                <w:sz w:val="24"/>
              </w:rPr>
              <w:t xml:space="preserve"> 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2</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 25%</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60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30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3</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0~50%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90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45</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4</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0~75%</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120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60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5</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0~100%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150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75</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6</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0~125%</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180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90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7</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0~150%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240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120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8</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0~ 200%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360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180</w:t>
            </w:r>
          </w:p>
        </w:tc>
        <w:tc>
          <w:tcPr>
            <w:tcW w:w="1858" w:type="dxa"/>
            <w:vMerge/>
          </w:tcPr>
          <w:p w:rsidR="00D4331F" w:rsidRPr="003B1D7C" w:rsidRDefault="00D4331F" w:rsidP="00F67EC1">
            <w:pPr>
              <w:tabs>
                <w:tab w:val="left" w:pos="0"/>
              </w:tabs>
              <w:adjustRightInd w:val="0"/>
              <w:snapToGrid w:val="0"/>
              <w:spacing w:line="560" w:lineRule="atLeast"/>
              <w:jc w:val="center"/>
              <w:rPr>
                <w:rFonts w:eastAsia="仿宋_GB2312"/>
                <w:bCs/>
                <w:sz w:val="24"/>
              </w:rPr>
            </w:pPr>
          </w:p>
        </w:tc>
      </w:tr>
      <w:tr w:rsidR="00D4331F" w:rsidRPr="003B1D7C" w:rsidTr="00F67EC1">
        <w:trPr>
          <w:jc w:val="center"/>
        </w:trPr>
        <w:tc>
          <w:tcPr>
            <w:tcW w:w="138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lastRenderedPageBreak/>
              <w:t>9</w:t>
            </w:r>
          </w:p>
        </w:tc>
        <w:tc>
          <w:tcPr>
            <w:tcW w:w="2077"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&gt; 200%</w:t>
            </w:r>
          </w:p>
        </w:tc>
        <w:tc>
          <w:tcPr>
            <w:tcW w:w="1559"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480</w:t>
            </w:r>
          </w:p>
        </w:tc>
        <w:tc>
          <w:tcPr>
            <w:tcW w:w="1276" w:type="dxa"/>
          </w:tcPr>
          <w:p w:rsidR="00D4331F" w:rsidRPr="003B1D7C" w:rsidRDefault="00D4331F" w:rsidP="00F67EC1">
            <w:pPr>
              <w:tabs>
                <w:tab w:val="left" w:pos="0"/>
              </w:tabs>
              <w:adjustRightInd w:val="0"/>
              <w:snapToGrid w:val="0"/>
              <w:spacing w:line="560" w:lineRule="atLeast"/>
              <w:jc w:val="center"/>
              <w:rPr>
                <w:rFonts w:eastAsia="仿宋_GB2312"/>
                <w:bCs/>
                <w:sz w:val="24"/>
              </w:rPr>
            </w:pPr>
            <w:r w:rsidRPr="003B1D7C">
              <w:rPr>
                <w:rFonts w:eastAsia="仿宋_GB2312"/>
                <w:bCs/>
                <w:sz w:val="24"/>
              </w:rPr>
              <w:t>240</w:t>
            </w:r>
          </w:p>
        </w:tc>
        <w:tc>
          <w:tcPr>
            <w:tcW w:w="1858" w:type="dxa"/>
            <w:vMerge/>
          </w:tcPr>
          <w:p w:rsidR="00D4331F" w:rsidRPr="003B1D7C" w:rsidRDefault="00D4331F" w:rsidP="00F67EC1">
            <w:pPr>
              <w:tabs>
                <w:tab w:val="left" w:pos="0"/>
              </w:tabs>
              <w:adjustRightInd w:val="0"/>
              <w:snapToGrid w:val="0"/>
              <w:spacing w:line="560" w:lineRule="atLeast"/>
              <w:rPr>
                <w:rFonts w:eastAsia="仿宋_GB2312"/>
                <w:bCs/>
                <w:sz w:val="24"/>
              </w:rPr>
            </w:pPr>
          </w:p>
        </w:tc>
      </w:tr>
    </w:tbl>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w:t>
      </w:r>
      <w:r w:rsidRPr="00EE580F">
        <w:rPr>
          <w:rFonts w:eastAsia="仿宋_GB2312"/>
          <w:bCs/>
          <w:sz w:val="32"/>
          <w:szCs w:val="32"/>
        </w:rPr>
        <w:t>超标率（</w:t>
      </w:r>
      <w:r w:rsidRPr="00EE580F">
        <w:rPr>
          <w:rFonts w:eastAsia="仿宋_GB2312"/>
          <w:bCs/>
          <w:sz w:val="32"/>
          <w:szCs w:val="32"/>
        </w:rPr>
        <w:t>%</w:t>
      </w:r>
      <w:r w:rsidRPr="00EE580F">
        <w:rPr>
          <w:rFonts w:eastAsia="仿宋_GB2312"/>
          <w:bCs/>
          <w:sz w:val="32"/>
          <w:szCs w:val="32"/>
        </w:rPr>
        <w:t>）</w:t>
      </w:r>
      <w:r w:rsidRPr="00EE580F">
        <w:rPr>
          <w:rFonts w:eastAsia="仿宋_GB2312"/>
          <w:bCs/>
          <w:sz w:val="32"/>
          <w:szCs w:val="32"/>
        </w:rPr>
        <w:t>=</w:t>
      </w:r>
      <w:r w:rsidRPr="00EE580F">
        <w:rPr>
          <w:rFonts w:eastAsia="仿宋_GB2312"/>
          <w:bCs/>
          <w:sz w:val="32"/>
          <w:szCs w:val="32"/>
        </w:rPr>
        <w:t>（使用面积</w:t>
      </w:r>
      <w:r w:rsidRPr="00EE580F">
        <w:rPr>
          <w:rFonts w:eastAsia="仿宋_GB2312"/>
          <w:bCs/>
          <w:sz w:val="32"/>
          <w:szCs w:val="32"/>
        </w:rPr>
        <w:t>-</w:t>
      </w:r>
      <w:r w:rsidRPr="00EE580F">
        <w:rPr>
          <w:rFonts w:eastAsia="仿宋_GB2312"/>
          <w:bCs/>
          <w:sz w:val="32"/>
          <w:szCs w:val="32"/>
        </w:rPr>
        <w:t>核定面积）</w:t>
      </w:r>
      <w:r w:rsidRPr="00EE580F">
        <w:rPr>
          <w:rFonts w:eastAsia="仿宋_GB2312"/>
          <w:bCs/>
          <w:sz w:val="32"/>
          <w:szCs w:val="32"/>
        </w:rPr>
        <w:t>/</w:t>
      </w:r>
      <w:r w:rsidRPr="00EE580F">
        <w:rPr>
          <w:rFonts w:eastAsia="仿宋_GB2312"/>
          <w:bCs/>
          <w:sz w:val="32"/>
          <w:szCs w:val="32"/>
        </w:rPr>
        <w:t>核定面积（</w:t>
      </w:r>
      <w:r w:rsidRPr="00EE580F">
        <w:rPr>
          <w:rFonts w:eastAsia="仿宋_GB2312"/>
          <w:bCs/>
          <w:sz w:val="32"/>
          <w:szCs w:val="32"/>
        </w:rPr>
        <w:t>%</w:t>
      </w:r>
      <w:r w:rsidRPr="00EE580F">
        <w:rPr>
          <w:rFonts w:eastAsia="仿宋_GB2312"/>
          <w:bCs/>
          <w:sz w:val="32"/>
          <w:szCs w:val="32"/>
        </w:rPr>
        <w:t>）。</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（二）科研辅助房收费标准</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1</w:t>
      </w:r>
      <w:r w:rsidRPr="00EE580F">
        <w:rPr>
          <w:rFonts w:eastAsia="仿宋_GB2312"/>
          <w:bCs/>
          <w:sz w:val="32"/>
          <w:szCs w:val="32"/>
        </w:rPr>
        <w:t>．温室收费</w:t>
      </w:r>
    </w:p>
    <w:p w:rsidR="00D4331F" w:rsidRPr="00EE580F" w:rsidRDefault="00D4331F" w:rsidP="00D4331F">
      <w:pPr>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生物安全中心大楼西侧温室：</w:t>
      </w:r>
      <w:r w:rsidRPr="00EE580F">
        <w:rPr>
          <w:rFonts w:eastAsia="仿宋_GB2312"/>
          <w:bCs/>
          <w:sz w:val="32"/>
          <w:szCs w:val="32"/>
        </w:rPr>
        <w:t xml:space="preserve"> 12000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第一间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18000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第二间</w:t>
      </w:r>
      <w:r w:rsidRPr="00EE580F">
        <w:rPr>
          <w:rFonts w:eastAsia="仿宋_GB2312"/>
          <w:bCs/>
          <w:sz w:val="32"/>
          <w:szCs w:val="32"/>
        </w:rPr>
        <w:t>/</w:t>
      </w:r>
      <w:r w:rsidRPr="00EE580F">
        <w:rPr>
          <w:rFonts w:eastAsia="仿宋_GB2312"/>
          <w:bCs/>
          <w:sz w:val="32"/>
          <w:szCs w:val="32"/>
        </w:rPr>
        <w:t>年；以此类推；</w:t>
      </w:r>
    </w:p>
    <w:p w:rsidR="00D4331F" w:rsidRPr="00EE580F" w:rsidRDefault="00D4331F" w:rsidP="00D4331F">
      <w:pPr>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所区其它温室：</w:t>
      </w:r>
      <w:r w:rsidRPr="00EE580F">
        <w:rPr>
          <w:rFonts w:eastAsia="仿宋_GB2312"/>
          <w:bCs/>
          <w:sz w:val="32"/>
          <w:szCs w:val="32"/>
        </w:rPr>
        <w:t>5000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第一间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7500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第二间</w:t>
      </w:r>
      <w:r w:rsidRPr="00EE580F">
        <w:rPr>
          <w:rFonts w:eastAsia="仿宋_GB2312"/>
          <w:bCs/>
          <w:sz w:val="32"/>
          <w:szCs w:val="32"/>
        </w:rPr>
        <w:t>/</w:t>
      </w:r>
      <w:r w:rsidRPr="00EE580F">
        <w:rPr>
          <w:rFonts w:eastAsia="仿宋_GB2312"/>
          <w:bCs/>
          <w:sz w:val="32"/>
          <w:szCs w:val="32"/>
        </w:rPr>
        <w:t>年，以此类推。</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2</w:t>
      </w:r>
      <w:r w:rsidRPr="00EE580F">
        <w:rPr>
          <w:rFonts w:eastAsia="仿宋_GB2312"/>
          <w:bCs/>
          <w:sz w:val="32"/>
          <w:szCs w:val="32"/>
        </w:rPr>
        <w:t>．低温温室：</w:t>
      </w:r>
      <w:r w:rsidRPr="00EE580F">
        <w:rPr>
          <w:rFonts w:eastAsia="仿宋_GB2312"/>
          <w:bCs/>
          <w:sz w:val="32"/>
          <w:szCs w:val="32"/>
        </w:rPr>
        <w:t>8000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第一间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12000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第二间及以上</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 xml:space="preserve"> </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3</w:t>
      </w:r>
      <w:r w:rsidRPr="00EE580F">
        <w:rPr>
          <w:rFonts w:eastAsia="仿宋_GB2312"/>
          <w:bCs/>
          <w:sz w:val="32"/>
          <w:szCs w:val="32"/>
        </w:rPr>
        <w:t>．温室操作间：</w:t>
      </w:r>
      <w:r w:rsidRPr="00EE580F">
        <w:rPr>
          <w:rFonts w:eastAsia="仿宋_GB2312"/>
          <w:bCs/>
          <w:sz w:val="32"/>
          <w:szCs w:val="32"/>
        </w:rPr>
        <w:t>4000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间</w:t>
      </w:r>
      <w:r w:rsidRPr="00EE580F">
        <w:rPr>
          <w:rFonts w:eastAsia="仿宋_GB2312"/>
          <w:bCs/>
          <w:sz w:val="32"/>
          <w:szCs w:val="32"/>
        </w:rPr>
        <w:t>/</w:t>
      </w:r>
      <w:r w:rsidRPr="00EE580F">
        <w:rPr>
          <w:rFonts w:eastAsia="仿宋_GB2312"/>
          <w:bCs/>
          <w:sz w:val="32"/>
          <w:szCs w:val="32"/>
        </w:rPr>
        <w:t>年。</w:t>
      </w:r>
    </w:p>
    <w:p w:rsidR="00D4331F" w:rsidRPr="00EE580F" w:rsidRDefault="00D4331F" w:rsidP="00D4331F">
      <w:pPr>
        <w:tabs>
          <w:tab w:val="left" w:pos="851"/>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4</w:t>
      </w:r>
      <w:r w:rsidRPr="00EE580F">
        <w:rPr>
          <w:rFonts w:eastAsia="仿宋_GB2312"/>
          <w:bCs/>
          <w:sz w:val="32"/>
          <w:szCs w:val="32"/>
        </w:rPr>
        <w:t>．养虫室收费：生物安全中心地下一层养虫室</w:t>
      </w:r>
      <w:r w:rsidRPr="00EE580F">
        <w:rPr>
          <w:rFonts w:eastAsia="仿宋_GB2312"/>
          <w:bCs/>
          <w:sz w:val="32"/>
          <w:szCs w:val="32"/>
        </w:rPr>
        <w:t xml:space="preserve"> 5000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第一间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7500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第二间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10000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第三间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12500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第四间</w:t>
      </w:r>
      <w:r w:rsidRPr="00EE580F">
        <w:rPr>
          <w:rFonts w:eastAsia="仿宋_GB2312"/>
          <w:bCs/>
          <w:sz w:val="32"/>
          <w:szCs w:val="32"/>
        </w:rPr>
        <w:t>/</w:t>
      </w:r>
      <w:r w:rsidRPr="00EE580F">
        <w:rPr>
          <w:rFonts w:eastAsia="仿宋_GB2312"/>
          <w:bCs/>
          <w:sz w:val="32"/>
          <w:szCs w:val="32"/>
        </w:rPr>
        <w:t>年，</w:t>
      </w:r>
      <w:r w:rsidRPr="00EE580F">
        <w:rPr>
          <w:rFonts w:eastAsia="仿宋_GB2312"/>
          <w:bCs/>
          <w:sz w:val="32"/>
          <w:szCs w:val="32"/>
        </w:rPr>
        <w:t>15000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第五间及以上</w:t>
      </w:r>
      <w:r w:rsidRPr="00EE580F">
        <w:rPr>
          <w:rFonts w:eastAsia="仿宋_GB2312"/>
          <w:bCs/>
          <w:sz w:val="32"/>
          <w:szCs w:val="32"/>
        </w:rPr>
        <w:t>/</w:t>
      </w:r>
      <w:r w:rsidRPr="00EE580F">
        <w:rPr>
          <w:rFonts w:eastAsia="仿宋_GB2312"/>
          <w:bCs/>
          <w:sz w:val="32"/>
          <w:szCs w:val="32"/>
        </w:rPr>
        <w:t>年。</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（三）公共仪器用房和科研平台</w:t>
      </w:r>
    </w:p>
    <w:p w:rsidR="00D4331F" w:rsidRPr="00EE580F" w:rsidRDefault="00D4331F" w:rsidP="00D4331F">
      <w:pPr>
        <w:tabs>
          <w:tab w:val="left" w:pos="0"/>
        </w:tabs>
        <w:adjustRightInd w:val="0"/>
        <w:snapToGrid w:val="0"/>
        <w:spacing w:line="560" w:lineRule="atLeast"/>
        <w:ind w:firstLineChars="200" w:firstLine="640"/>
        <w:rPr>
          <w:rFonts w:eastAsia="仿宋_GB2312"/>
          <w:bCs/>
          <w:sz w:val="32"/>
          <w:szCs w:val="32"/>
        </w:rPr>
      </w:pPr>
      <w:r w:rsidRPr="00EE580F">
        <w:rPr>
          <w:rFonts w:eastAsia="仿宋_GB2312"/>
          <w:bCs/>
          <w:sz w:val="32"/>
          <w:szCs w:val="32"/>
        </w:rPr>
        <w:t>国家重点实验室、农科院农药化学与应用技术重点开放实验室等用于安排公用仪器设备或作为客座人员公用实验室等用途的公共用房，租用费用由上述单位分别承担，收费标准为：楼房</w:t>
      </w:r>
      <w:r w:rsidRPr="00EE580F">
        <w:rPr>
          <w:rFonts w:eastAsia="仿宋_GB2312"/>
          <w:bCs/>
          <w:sz w:val="32"/>
          <w:szCs w:val="32"/>
        </w:rPr>
        <w:t>40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月，平房、简易房</w:t>
      </w:r>
      <w:r w:rsidRPr="00EE580F">
        <w:rPr>
          <w:rFonts w:eastAsia="仿宋_GB2312"/>
          <w:bCs/>
          <w:sz w:val="32"/>
          <w:szCs w:val="32"/>
        </w:rPr>
        <w:t>30</w:t>
      </w:r>
      <w:r w:rsidRPr="00EE580F">
        <w:rPr>
          <w:rFonts w:eastAsia="仿宋_GB2312"/>
          <w:bCs/>
          <w:sz w:val="32"/>
          <w:szCs w:val="32"/>
        </w:rPr>
        <w:t>元</w:t>
      </w:r>
      <w:r w:rsidRPr="00EE580F">
        <w:rPr>
          <w:rFonts w:eastAsia="仿宋_GB2312"/>
          <w:bCs/>
          <w:sz w:val="32"/>
          <w:szCs w:val="32"/>
        </w:rPr>
        <w:t>/</w:t>
      </w:r>
      <w:r w:rsidRPr="00EE580F">
        <w:rPr>
          <w:rFonts w:eastAsia="仿宋_GB2312"/>
          <w:bCs/>
          <w:sz w:val="32"/>
          <w:szCs w:val="32"/>
        </w:rPr>
        <w:t>平方米</w:t>
      </w:r>
      <w:r w:rsidRPr="00EE580F">
        <w:rPr>
          <w:rFonts w:eastAsia="仿宋_GB2312"/>
          <w:bCs/>
          <w:sz w:val="32"/>
          <w:szCs w:val="32"/>
        </w:rPr>
        <w:t>/</w:t>
      </w:r>
      <w:r w:rsidRPr="00EE580F">
        <w:rPr>
          <w:rFonts w:eastAsia="仿宋_GB2312"/>
          <w:bCs/>
          <w:sz w:val="32"/>
          <w:szCs w:val="32"/>
        </w:rPr>
        <w:t>月。</w:t>
      </w:r>
    </w:p>
    <w:p w:rsidR="00D4331F" w:rsidRPr="00EE580F" w:rsidRDefault="00353CD5" w:rsidP="00D4331F">
      <w:pPr>
        <w:tabs>
          <w:tab w:val="left" w:pos="0"/>
        </w:tabs>
        <w:adjustRightInd w:val="0"/>
        <w:snapToGrid w:val="0"/>
        <w:spacing w:line="560" w:lineRule="atLeast"/>
        <w:ind w:firstLineChars="200" w:firstLine="640"/>
        <w:rPr>
          <w:rFonts w:eastAsia="仿宋_GB2312"/>
          <w:bCs/>
          <w:i/>
          <w:sz w:val="32"/>
          <w:szCs w:val="32"/>
        </w:rPr>
      </w:pPr>
      <w:r>
        <w:rPr>
          <w:rFonts w:eastAsia="仿宋_GB2312"/>
          <w:bCs/>
          <w:sz w:val="32"/>
          <w:szCs w:val="32"/>
        </w:rPr>
        <w:t>（四）</w:t>
      </w:r>
      <w:r w:rsidR="00D4331F" w:rsidRPr="00EE580F">
        <w:rPr>
          <w:rFonts w:eastAsia="仿宋_GB2312"/>
          <w:bCs/>
          <w:sz w:val="32"/>
          <w:szCs w:val="32"/>
        </w:rPr>
        <w:t>各检测中心、所属公司用房收费按如下规定执行：楼房</w:t>
      </w:r>
      <w:r w:rsidR="00D4331F" w:rsidRPr="00EE580F">
        <w:rPr>
          <w:rFonts w:eastAsia="仿宋_GB2312"/>
          <w:bCs/>
          <w:sz w:val="32"/>
          <w:szCs w:val="32"/>
        </w:rPr>
        <w:t>60</w:t>
      </w:r>
      <w:r w:rsidR="00D4331F" w:rsidRPr="00EE580F">
        <w:rPr>
          <w:rFonts w:eastAsia="仿宋_GB2312"/>
          <w:bCs/>
          <w:sz w:val="32"/>
          <w:szCs w:val="32"/>
        </w:rPr>
        <w:t>元</w:t>
      </w:r>
      <w:r w:rsidR="00D4331F" w:rsidRPr="00EE580F">
        <w:rPr>
          <w:rFonts w:eastAsia="仿宋_GB2312"/>
          <w:bCs/>
          <w:sz w:val="32"/>
          <w:szCs w:val="32"/>
        </w:rPr>
        <w:t>/</w:t>
      </w:r>
      <w:r w:rsidR="00D4331F" w:rsidRPr="00EE580F">
        <w:rPr>
          <w:rFonts w:eastAsia="仿宋_GB2312"/>
          <w:bCs/>
          <w:sz w:val="32"/>
          <w:szCs w:val="32"/>
        </w:rPr>
        <w:t>平方米</w:t>
      </w:r>
      <w:r w:rsidR="00D4331F" w:rsidRPr="00EE580F">
        <w:rPr>
          <w:rFonts w:eastAsia="仿宋_GB2312"/>
          <w:bCs/>
          <w:sz w:val="32"/>
          <w:szCs w:val="32"/>
        </w:rPr>
        <w:t>/</w:t>
      </w:r>
      <w:r w:rsidR="00D4331F" w:rsidRPr="00EE580F">
        <w:rPr>
          <w:rFonts w:eastAsia="仿宋_GB2312"/>
          <w:bCs/>
          <w:sz w:val="32"/>
          <w:szCs w:val="32"/>
        </w:rPr>
        <w:t>月，平房、简易房</w:t>
      </w:r>
      <w:r w:rsidR="00D4331F" w:rsidRPr="00EE580F">
        <w:rPr>
          <w:rFonts w:eastAsia="仿宋_GB2312"/>
          <w:bCs/>
          <w:sz w:val="32"/>
          <w:szCs w:val="32"/>
        </w:rPr>
        <w:t>40</w:t>
      </w:r>
      <w:r w:rsidR="00D4331F" w:rsidRPr="00EE580F">
        <w:rPr>
          <w:rFonts w:eastAsia="仿宋_GB2312"/>
          <w:bCs/>
          <w:sz w:val="32"/>
          <w:szCs w:val="32"/>
        </w:rPr>
        <w:t>元</w:t>
      </w:r>
      <w:r w:rsidR="00D4331F" w:rsidRPr="00EE580F">
        <w:rPr>
          <w:rFonts w:eastAsia="仿宋_GB2312"/>
          <w:bCs/>
          <w:sz w:val="32"/>
          <w:szCs w:val="32"/>
        </w:rPr>
        <w:t>/</w:t>
      </w:r>
      <w:r w:rsidR="00D4331F" w:rsidRPr="00EE580F">
        <w:rPr>
          <w:rFonts w:eastAsia="仿宋_GB2312"/>
          <w:bCs/>
          <w:sz w:val="32"/>
          <w:szCs w:val="32"/>
        </w:rPr>
        <w:t>平方米</w:t>
      </w:r>
      <w:r w:rsidR="00D4331F" w:rsidRPr="00EE580F">
        <w:rPr>
          <w:rFonts w:eastAsia="仿宋_GB2312"/>
          <w:bCs/>
          <w:sz w:val="32"/>
          <w:szCs w:val="32"/>
        </w:rPr>
        <w:t>/</w:t>
      </w:r>
      <w:r w:rsidR="00D4331F" w:rsidRPr="00EE580F">
        <w:rPr>
          <w:rFonts w:eastAsia="仿宋_GB2312"/>
          <w:bCs/>
          <w:sz w:val="32"/>
          <w:szCs w:val="32"/>
        </w:rPr>
        <w:t>月。</w:t>
      </w:r>
    </w:p>
    <w:p w:rsidR="00D4331F" w:rsidRPr="00EE580F" w:rsidRDefault="00D4331F" w:rsidP="00D4331F">
      <w:pPr>
        <w:tabs>
          <w:tab w:val="left" w:pos="0"/>
        </w:tabs>
        <w:adjustRightInd w:val="0"/>
        <w:snapToGrid w:val="0"/>
        <w:spacing w:line="560" w:lineRule="atLeast"/>
        <w:ind w:firstLineChars="200" w:firstLine="643"/>
        <w:rPr>
          <w:rFonts w:eastAsia="仿宋_GB2312"/>
          <w:bCs/>
          <w:sz w:val="32"/>
          <w:szCs w:val="32"/>
        </w:rPr>
      </w:pPr>
      <w:r w:rsidRPr="00001352">
        <w:rPr>
          <w:rFonts w:eastAsia="仿宋_GB2312"/>
          <w:b/>
          <w:bCs/>
          <w:sz w:val="32"/>
          <w:szCs w:val="32"/>
        </w:rPr>
        <w:t>第五条</w:t>
      </w:r>
      <w:r w:rsidRPr="00EE580F">
        <w:rPr>
          <w:rFonts w:eastAsia="仿宋_GB2312"/>
          <w:bCs/>
          <w:sz w:val="32"/>
          <w:szCs w:val="32"/>
        </w:rPr>
        <w:t xml:space="preserve">  </w:t>
      </w:r>
      <w:r w:rsidRPr="00EE580F">
        <w:rPr>
          <w:rFonts w:eastAsia="仿宋_GB2312"/>
          <w:bCs/>
          <w:sz w:val="32"/>
          <w:szCs w:val="32"/>
        </w:rPr>
        <w:t>各用房单位在每年年初需与研究所签订租用合同，并在当年内按时交纳足额费用。各研究组租用各类科</w:t>
      </w:r>
      <w:r w:rsidRPr="00EE580F">
        <w:rPr>
          <w:rFonts w:eastAsia="仿宋_GB2312"/>
          <w:bCs/>
          <w:sz w:val="32"/>
          <w:szCs w:val="32"/>
        </w:rPr>
        <w:lastRenderedPageBreak/>
        <w:t>研辅助用房和超标准使用的科研楼房屋当年缴纳不齐各项费用的，第二年研究所有权收回这些房屋</w:t>
      </w:r>
      <w:r w:rsidR="00647930">
        <w:rPr>
          <w:rFonts w:eastAsia="仿宋_GB2312" w:hint="eastAsia"/>
          <w:bCs/>
          <w:sz w:val="32"/>
          <w:szCs w:val="32"/>
        </w:rPr>
        <w:t>，</w:t>
      </w:r>
      <w:r w:rsidRPr="00EE580F">
        <w:rPr>
          <w:rFonts w:eastAsia="仿宋_GB2312"/>
          <w:bCs/>
          <w:sz w:val="32"/>
          <w:szCs w:val="32"/>
        </w:rPr>
        <w:t>并从该研究组及部门经费（包括创新工程经费、横向经费等）中相应扣除。研究所将于每年年末公布所收取的上一年度房屋租用费用及使用情况。</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001352">
        <w:rPr>
          <w:rFonts w:eastAsia="仿宋_GB2312"/>
          <w:b/>
          <w:bCs/>
          <w:sz w:val="32"/>
          <w:szCs w:val="32"/>
        </w:rPr>
        <w:t>第六条</w:t>
      </w:r>
      <w:r w:rsidRPr="00EE580F">
        <w:rPr>
          <w:rFonts w:eastAsia="仿宋_GB2312"/>
          <w:bCs/>
          <w:sz w:val="32"/>
          <w:szCs w:val="32"/>
        </w:rPr>
        <w:t xml:space="preserve">  </w:t>
      </w:r>
      <w:r w:rsidRPr="00EE580F">
        <w:rPr>
          <w:rFonts w:eastAsia="仿宋_GB2312"/>
          <w:bCs/>
          <w:sz w:val="32"/>
          <w:szCs w:val="32"/>
        </w:rPr>
        <w:t>各研究组及部门有责任和义务对其租用的科研用房进行基本的维护，以保障其基本使用功能。确有必要对用房进行装修或改造时，须事先将方案报所办公室审查批准；涉及用房结构和管线等的改造，须经所办公室、基建办公室审查后报主管所领导批准，并将施工图纸交综合档案室存档。</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001352">
        <w:rPr>
          <w:rFonts w:eastAsia="仿宋_GB2312"/>
          <w:b/>
          <w:bCs/>
          <w:sz w:val="32"/>
          <w:szCs w:val="32"/>
        </w:rPr>
        <w:t>第七条</w:t>
      </w:r>
      <w:r w:rsidRPr="00EE580F">
        <w:rPr>
          <w:rFonts w:eastAsia="仿宋_GB2312"/>
          <w:bCs/>
          <w:sz w:val="32"/>
          <w:szCs w:val="32"/>
        </w:rPr>
        <w:t xml:space="preserve">  </w:t>
      </w:r>
      <w:r w:rsidRPr="00EE580F">
        <w:rPr>
          <w:rFonts w:eastAsia="仿宋_GB2312"/>
          <w:bCs/>
          <w:sz w:val="32"/>
          <w:szCs w:val="32"/>
        </w:rPr>
        <w:t>以前研究组自筹或部分自筹资金所建的实验室，因年代久远，有的已拆除或部分拆除、改造，研究所将酌情考虑给予有关研究组一次性适当补偿予以了结。</w:t>
      </w:r>
    </w:p>
    <w:p w:rsidR="00D4331F" w:rsidRPr="00EE580F" w:rsidRDefault="00D4331F" w:rsidP="00D4331F">
      <w:pPr>
        <w:adjustRightInd w:val="0"/>
        <w:snapToGrid w:val="0"/>
        <w:spacing w:line="560" w:lineRule="atLeast"/>
        <w:ind w:firstLineChars="200" w:firstLine="643"/>
        <w:rPr>
          <w:rFonts w:eastAsia="仿宋_GB2312"/>
          <w:bCs/>
          <w:sz w:val="32"/>
          <w:szCs w:val="32"/>
        </w:rPr>
      </w:pPr>
      <w:r w:rsidRPr="00001352">
        <w:rPr>
          <w:rFonts w:eastAsia="仿宋_GB2312"/>
          <w:b/>
          <w:bCs/>
          <w:sz w:val="32"/>
          <w:szCs w:val="32"/>
        </w:rPr>
        <w:t>第八条</w:t>
      </w:r>
      <w:r w:rsidRPr="00EE580F">
        <w:rPr>
          <w:rFonts w:eastAsia="仿宋_GB2312"/>
          <w:bCs/>
          <w:sz w:val="32"/>
          <w:szCs w:val="32"/>
        </w:rPr>
        <w:t xml:space="preserve">  </w:t>
      </w:r>
      <w:r w:rsidRPr="00EE580F">
        <w:rPr>
          <w:rFonts w:eastAsia="仿宋_GB2312"/>
          <w:bCs/>
          <w:sz w:val="32"/>
          <w:szCs w:val="32"/>
        </w:rPr>
        <w:t>本办法由所办公室负责解释，自</w:t>
      </w:r>
      <w:r w:rsidRPr="00EE580F">
        <w:rPr>
          <w:rFonts w:eastAsia="仿宋_GB2312"/>
          <w:bCs/>
          <w:sz w:val="32"/>
          <w:szCs w:val="32"/>
        </w:rPr>
        <w:t>2016</w:t>
      </w:r>
      <w:r w:rsidRPr="00EE580F">
        <w:rPr>
          <w:rFonts w:eastAsia="仿宋_GB2312"/>
          <w:bCs/>
          <w:sz w:val="32"/>
          <w:szCs w:val="32"/>
        </w:rPr>
        <w:t>年</w:t>
      </w:r>
      <w:r w:rsidRPr="00EE580F">
        <w:rPr>
          <w:rFonts w:eastAsia="仿宋_GB2312"/>
          <w:bCs/>
          <w:sz w:val="32"/>
          <w:szCs w:val="32"/>
        </w:rPr>
        <w:t>1</w:t>
      </w:r>
      <w:r w:rsidRPr="00EE580F">
        <w:rPr>
          <w:rFonts w:eastAsia="仿宋_GB2312"/>
          <w:bCs/>
          <w:sz w:val="32"/>
          <w:szCs w:val="32"/>
        </w:rPr>
        <w:t>月</w:t>
      </w:r>
      <w:r w:rsidRPr="00EE580F">
        <w:rPr>
          <w:rFonts w:eastAsia="仿宋_GB2312"/>
          <w:bCs/>
          <w:sz w:val="32"/>
          <w:szCs w:val="32"/>
        </w:rPr>
        <w:t>1</w:t>
      </w:r>
      <w:r w:rsidRPr="00EE580F">
        <w:rPr>
          <w:rFonts w:eastAsia="仿宋_GB2312"/>
          <w:bCs/>
          <w:sz w:val="32"/>
          <w:szCs w:val="32"/>
        </w:rPr>
        <w:t>日起施行。</w:t>
      </w:r>
    </w:p>
    <w:p w:rsidR="00D4331F" w:rsidRPr="00001352"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D4331F" w:rsidRDefault="00D4331F" w:rsidP="00D4331F">
      <w:pPr>
        <w:widowControl/>
        <w:adjustRightInd w:val="0"/>
        <w:snapToGrid w:val="0"/>
        <w:spacing w:line="480" w:lineRule="atLeast"/>
        <w:rPr>
          <w:rFonts w:ascii="仿宋_GB2312" w:eastAsia="仿宋_GB2312"/>
          <w:sz w:val="32"/>
          <w:szCs w:val="32"/>
        </w:rPr>
      </w:pPr>
    </w:p>
    <w:p w:rsidR="005F350B" w:rsidRPr="00240ABC" w:rsidRDefault="005F350B"/>
    <w:sectPr w:rsidR="005F350B" w:rsidRPr="00240ABC" w:rsidSect="001E4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52" w:rsidRDefault="00212F52" w:rsidP="00D4331F">
      <w:r>
        <w:separator/>
      </w:r>
    </w:p>
  </w:endnote>
  <w:endnote w:type="continuationSeparator" w:id="1">
    <w:p w:rsidR="00212F52" w:rsidRDefault="00212F52" w:rsidP="00D4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52" w:rsidRDefault="00212F52" w:rsidP="00D4331F">
      <w:r>
        <w:separator/>
      </w:r>
    </w:p>
  </w:footnote>
  <w:footnote w:type="continuationSeparator" w:id="1">
    <w:p w:rsidR="00212F52" w:rsidRDefault="00212F52" w:rsidP="00D43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F4A2F"/>
    <w:multiLevelType w:val="hybridMultilevel"/>
    <w:tmpl w:val="67E8A63A"/>
    <w:lvl w:ilvl="0" w:tplc="125E06CE">
      <w:start w:val="1"/>
      <w:numFmt w:val="decimal"/>
      <w:lvlText w:val="%1）"/>
      <w:lvlJc w:val="left"/>
      <w:pPr>
        <w:ind w:left="532" w:hanging="39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5E9660FA"/>
    <w:multiLevelType w:val="multilevel"/>
    <w:tmpl w:val="D0A4CCA4"/>
    <w:lvl w:ilvl="0">
      <w:start w:val="1"/>
      <w:numFmt w:val="japaneseCounting"/>
      <w:lvlText w:val="第%1条"/>
      <w:lvlJc w:val="left"/>
      <w:pPr>
        <w:tabs>
          <w:tab w:val="num" w:pos="720"/>
        </w:tabs>
        <w:ind w:left="720" w:hanging="72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33E"/>
    <w:rsid w:val="001E40B7"/>
    <w:rsid w:val="00212F52"/>
    <w:rsid w:val="00240ABC"/>
    <w:rsid w:val="002A133E"/>
    <w:rsid w:val="00353CD5"/>
    <w:rsid w:val="005F350B"/>
    <w:rsid w:val="00647930"/>
    <w:rsid w:val="00A053BA"/>
    <w:rsid w:val="00A82861"/>
    <w:rsid w:val="00BC0EE5"/>
    <w:rsid w:val="00D4331F"/>
    <w:rsid w:val="00DD388D"/>
    <w:rsid w:val="00F96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31F"/>
    <w:rPr>
      <w:sz w:val="18"/>
      <w:szCs w:val="18"/>
    </w:rPr>
  </w:style>
  <w:style w:type="paragraph" w:styleId="a4">
    <w:name w:val="footer"/>
    <w:basedOn w:val="a"/>
    <w:link w:val="Char0"/>
    <w:uiPriority w:val="99"/>
    <w:unhideWhenUsed/>
    <w:rsid w:val="00D4331F"/>
    <w:pPr>
      <w:tabs>
        <w:tab w:val="center" w:pos="4153"/>
        <w:tab w:val="right" w:pos="8306"/>
      </w:tabs>
      <w:snapToGrid w:val="0"/>
      <w:jc w:val="left"/>
    </w:pPr>
    <w:rPr>
      <w:sz w:val="18"/>
      <w:szCs w:val="18"/>
    </w:rPr>
  </w:style>
  <w:style w:type="character" w:customStyle="1" w:styleId="Char0">
    <w:name w:val="页脚 Char"/>
    <w:basedOn w:val="a0"/>
    <w:link w:val="a4"/>
    <w:uiPriority w:val="99"/>
    <w:rsid w:val="00D4331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管理员</cp:lastModifiedBy>
  <cp:revision>8</cp:revision>
  <dcterms:created xsi:type="dcterms:W3CDTF">2018-04-14T14:20:00Z</dcterms:created>
  <dcterms:modified xsi:type="dcterms:W3CDTF">2019-02-26T03:25:00Z</dcterms:modified>
</cp:coreProperties>
</file>